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double" w:sz="12" w:space="0" w:color="831843"/>
          <w:left w:val="double" w:sz="12" w:space="0" w:color="831843"/>
          <w:bottom w:val="double" w:sz="12" w:space="0" w:color="831843"/>
          <w:right w:val="double" w:sz="12" w:space="0" w:color="831843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639"/>
      </w:tblGrid>
      <w:tr>
        <w:trPr>
          <w:trHeight w:val="14287" w:hRule="exact"/>
        </w:trPr>
        <w:tc>
          <w:tcPr>
            <w:tcW w:type="dxa" w:w="9638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831843"/>
                <w:sz w:val="20"/>
                <w:spacing w:val="60"/>
              </w:rPr>
              <w:t>Annual Report</w:t>
            </w:r>
          </w:p>
          <w:p>
            <w:pPr>
              <w:pStyle w:val="Title"/>
              <w:jc w:val="center"/>
            </w:pPr>
            <w:r>
              <w:t>Northwind Analytics Pvt. Ltd.</w:t>
            </w:r>
          </w:p>
          <w:p>
            <w:pPr>
              <w:jc w:val="center"/>
            </w:pPr>
            <w:r>
              <w:rPr>
                <w:b/>
                <w:i w:val="0"/>
                <w:color w:val="831843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6F7581"/>
                <w:sz w:val="26"/>
              </w:rPr>
              <w:t>Annual Report 2025–26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REPORTING PERIOD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Financial year ended 31 March 2026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REGISTERED OFFICE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Bengaluru, Karnataka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REGISTRATION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CIN: U00000KA0000PTC000000 (sample)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3</w:t>
      </w:r>
    </w:p>
    <w:p>
      <w:pPr>
        <w:pStyle w:val="TOC1"/>
      </w:pPr>
      <w:r>
        <w:t>02  Letter from the Managing Director</w:t>
      </w:r>
      <w:r>
        <w:tab/>
        <w:t>4</w:t>
      </w:r>
    </w:p>
    <w:p>
      <w:pPr>
        <w:pStyle w:val="TOC1"/>
      </w:pPr>
      <w:r>
        <w:t>03  The Year at a Glance</w:t>
      </w:r>
      <w:r>
        <w:tab/>
        <w:t>5</w:t>
      </w:r>
    </w:p>
    <w:p>
      <w:pPr>
        <w:pStyle w:val="TOC2"/>
      </w:pPr>
      <w:r>
        <w:t>Highlights of the Year</w:t>
      </w:r>
      <w:r>
        <w:tab/>
        <w:t>5</w:t>
      </w:r>
    </w:p>
    <w:p>
      <w:pPr>
        <w:pStyle w:val="TOC1"/>
      </w:pPr>
      <w:r>
        <w:t>04  Products</w:t>
      </w:r>
      <w:r>
        <w:tab/>
        <w:t>6</w:t>
      </w:r>
    </w:p>
    <w:p>
      <w:pPr>
        <w:pStyle w:val="TOC2"/>
      </w:pPr>
      <w:r>
        <w:t>What we did</w:t>
      </w:r>
      <w:r>
        <w:tab/>
        <w:t>6</w:t>
      </w:r>
    </w:p>
    <w:p>
      <w:pPr>
        <w:pStyle w:val="TOC2"/>
      </w:pPr>
      <w:r>
        <w:t>Results (sample data)</w:t>
      </w:r>
      <w:r>
        <w:tab/>
        <w:t>6</w:t>
      </w:r>
    </w:p>
    <w:p>
      <w:pPr>
        <w:pStyle w:val="TOC1"/>
      </w:pPr>
      <w:r>
        <w:t>05  Clients and Markets</w:t>
      </w:r>
      <w:r>
        <w:tab/>
        <w:t>7</w:t>
      </w:r>
    </w:p>
    <w:p>
      <w:pPr>
        <w:pStyle w:val="TOC2"/>
      </w:pPr>
      <w:r>
        <w:t>What we did</w:t>
      </w:r>
      <w:r>
        <w:tab/>
        <w:t>7</w:t>
      </w:r>
    </w:p>
    <w:p>
      <w:pPr>
        <w:pStyle w:val="TOC2"/>
      </w:pPr>
      <w:r>
        <w:t>Results (sample data)</w:t>
      </w:r>
      <w:r>
        <w:tab/>
        <w:t>7</w:t>
      </w:r>
    </w:p>
    <w:p>
      <w:pPr>
        <w:pStyle w:val="TOC1"/>
      </w:pPr>
      <w:r>
        <w:t>06  People and Culture</w:t>
      </w:r>
      <w:r>
        <w:tab/>
        <w:t>8</w:t>
      </w:r>
    </w:p>
    <w:p>
      <w:pPr>
        <w:pStyle w:val="TOC2"/>
      </w:pPr>
      <w:r>
        <w:t>What we did</w:t>
      </w:r>
      <w:r>
        <w:tab/>
        <w:t>8</w:t>
      </w:r>
    </w:p>
    <w:p>
      <w:pPr>
        <w:pStyle w:val="TOC2"/>
      </w:pPr>
      <w:r>
        <w:t>Results (sample data)</w:t>
      </w:r>
      <w:r>
        <w:tab/>
        <w:t>8</w:t>
      </w:r>
    </w:p>
    <w:p>
      <w:pPr>
        <w:pStyle w:val="TOC1"/>
      </w:pPr>
      <w:r>
        <w:t>07  People and Governance</w:t>
      </w:r>
      <w:r>
        <w:tab/>
        <w:t>9</w:t>
      </w:r>
    </w:p>
    <w:p>
      <w:pPr>
        <w:pStyle w:val="TOC2"/>
      </w:pPr>
      <w:r>
        <w:t>Board / Governing Council</w:t>
      </w:r>
      <w:r>
        <w:tab/>
        <w:t>9</w:t>
      </w:r>
    </w:p>
    <w:p>
      <w:pPr>
        <w:pStyle w:val="TOC2"/>
      </w:pPr>
      <w:r>
        <w:t>Our Team</w:t>
      </w:r>
      <w:r>
        <w:tab/>
        <w:t>9</w:t>
      </w:r>
    </w:p>
    <w:p>
      <w:pPr>
        <w:pStyle w:val="TOC1"/>
      </w:pPr>
      <w:r>
        <w:t>08  Financial Summary</w:t>
      </w:r>
      <w:r>
        <w:tab/>
        <w:t>10</w:t>
      </w:r>
    </w:p>
    <w:p>
      <w:pPr>
        <w:pStyle w:val="TOC2"/>
      </w:pPr>
      <w:r>
        <w:t>Income</w:t>
      </w:r>
      <w:r>
        <w:tab/>
        <w:t>10</w:t>
      </w:r>
    </w:p>
    <w:p>
      <w:pPr>
        <w:pStyle w:val="TOC2"/>
      </w:pPr>
      <w:r>
        <w:t>Expenditure</w:t>
      </w:r>
      <w:r>
        <w:tab/>
        <w:t>10</w:t>
      </w:r>
    </w:p>
    <w:p>
      <w:pPr>
        <w:pStyle w:val="TOC1"/>
      </w:pPr>
      <w:r>
        <w:t>09  Acknowledgements</w:t>
      </w:r>
      <w:r>
        <w:tab/>
        <w:t>11</w:t>
      </w:r>
    </w:p>
    <w:p>
      <w:pPr>
        <w:pStyle w:val="TOC1"/>
      </w:pPr>
      <w:r>
        <w:t>10  Contact Us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Northwind Analytics builds data and AI tools that help mid-sized Indian businesses forecast demand, manage inventory and understand their customers. We serve clients in retail, logistics and healthcare from offices in Bengaluru and Pune.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Vision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Make data-driven decisions simple for every growing business.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Mission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To deliver practical, affordable analytics products backed by excellent support.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Founded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2017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Where we work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Clients in 14 states; offices in Bengaluru and Pune</w:t>
            </w:r>
          </w:p>
        </w:tc>
      </w:tr>
    </w:tbl>
    <w:p>
      <w:pPr>
        <w:spacing w:after="80"/>
      </w:pPr>
    </w:p>
    <w:p>
      <w:pPr>
        <w:pStyle w:val="Heading1"/>
      </w:pPr>
      <w:r>
        <w:t>02  Letter from the Managing Director</w:t>
      </w:r>
    </w:p>
    <w:p>
      <w:pPr>
        <w:jc w:val="both"/>
      </w:pPr>
      <w:r>
        <w:t>Dear shareholders, the year 2025–26 was one of disciplined growth. We added new clients across retail and logistics, launched our forecasting product to general availability and improved our margins.</w:t>
      </w:r>
    </w:p>
    <w:p>
      <w:pPr>
        <w:jc w:val="both"/>
      </w:pPr>
      <w:r>
        <w:t>We invested in our people, opening a new Pune office and expanding our customer success team. Client retention remained high, which tells us our products solve real problems.</w:t>
      </w:r>
    </w:p>
    <w:p>
      <w:pPr>
        <w:jc w:val="both"/>
      </w:pPr>
      <w:r>
        <w:t>Looking ahead, we will deepen our healthcare offering, invest in responsible AI and continue to grow profitably.</w:t>
      </w:r>
    </w:p>
    <w:p>
      <w:pPr>
        <w:spacing w:after="0" w:before="280"/>
      </w:pPr>
      <w:r>
        <w:rPr>
          <w:b/>
        </w:rPr>
        <w:t>Rahul Menon</w:t>
      </w:r>
    </w:p>
    <w:p>
      <w:r>
        <w:rPr>
          <w:color w:val="6F7581"/>
        </w:rPr>
        <w:t>Managing Director &amp; CEO</w:t>
      </w:r>
    </w:p>
    <w:p>
      <w:pPr>
        <w:pStyle w:val="Heading1"/>
      </w:pPr>
      <w:r>
        <w:t>03  The Year 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₹ —</w:t>
            </w:r>
          </w:p>
          <w:p>
            <w:pPr>
              <w:spacing w:after="0"/>
            </w:pPr>
            <w:r>
              <w:rPr>
                <w:sz w:val="18"/>
              </w:rPr>
              <w:t>revenue (sample)</w:t>
            </w:r>
          </w:p>
        </w:tc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38%</w:t>
            </w:r>
          </w:p>
          <w:p>
            <w:pPr>
              <w:spacing w:after="0"/>
            </w:pPr>
            <w:r>
              <w:rPr>
                <w:sz w:val="18"/>
              </w:rPr>
              <w:t>growth in clients</w:t>
            </w:r>
          </w:p>
        </w:tc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94%</w:t>
            </w:r>
          </w:p>
          <w:p>
            <w:pPr>
              <w:spacing w:after="0"/>
            </w:pPr>
            <w:r>
              <w:rPr>
                <w:sz w:val="18"/>
              </w:rPr>
              <w:t>client retention</w:t>
            </w:r>
          </w:p>
        </w:tc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212</w:t>
            </w:r>
          </w:p>
          <w:p>
            <w:pPr>
              <w:spacing w:after="0"/>
            </w:pPr>
            <w:r>
              <w:rPr>
                <w:sz w:val="18"/>
              </w:rPr>
              <w:t>employees</w:t>
            </w:r>
          </w:p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products</w:t>
            </w:r>
          </w:p>
        </w:tc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14</w:t>
            </w:r>
          </w:p>
          <w:p>
            <w:pPr>
              <w:spacing w:after="0"/>
            </w:pPr>
            <w:r>
              <w:rPr>
                <w:sz w:val="18"/>
              </w:rPr>
              <w:t>states served</w:t>
            </w:r>
          </w:p>
        </w:tc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4.6/5</w:t>
            </w:r>
          </w:p>
          <w:p>
            <w:pPr>
              <w:spacing w:after="0"/>
            </w:pPr>
            <w:r>
              <w:rPr>
                <w:sz w:val="18"/>
              </w:rPr>
              <w:t>support rating</w:t>
            </w:r>
          </w:p>
        </w:tc>
        <w:tc>
          <w:tcPr>
            <w:tcW w:type="dxa" w:w="2409"/>
            <w:shd w:val="clear" w:color="auto" w:fill="E4CCD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831843"/>
                <w:sz w:val="40"/>
              </w:rPr>
              <w:t>2</w:t>
            </w:r>
          </w:p>
          <w:p>
            <w:pPr>
              <w:spacing w:after="0"/>
            </w:pPr>
            <w:r>
              <w:rPr>
                <w:sz w:val="18"/>
              </w:rPr>
              <w:t>offices</w:t>
            </w:r>
          </w:p>
        </w:tc>
      </w:tr>
    </w:tbl>
    <w:p>
      <w:pPr>
        <w:spacing w:after="120"/>
      </w:pPr>
    </w:p>
    <w:p>
      <w:pPr>
        <w:pStyle w:val="Caption"/>
        <w:jc w:val="center"/>
      </w:pPr>
      <w:r>
        <w:t>Figures in this report are illustrative sample data for the template; replace them with your audited numbers.</w:t>
      </w:r>
    </w:p>
    <w:p>
      <w:pPr>
        <w:pStyle w:val="Heading2"/>
      </w:pPr>
      <w:r>
        <w:t>Highlights of the Year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94"/>
        <w:gridCol w:w="7644"/>
      </w:tblGrid>
      <w:tr>
        <w:trPr>
          <w:tblHeader/>
        </w:trPr>
        <w:tc>
          <w:tcPr>
            <w:tcW w:type="dxa" w:w="199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Quarter</w:t>
            </w:r>
          </w:p>
        </w:tc>
        <w:tc>
          <w:tcPr>
            <w:tcW w:type="dxa" w:w="764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Q1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Forecast Pro reached general availability</w:t>
            </w:r>
          </w:p>
        </w:tc>
      </w:tr>
      <w:tr>
        <w:tc>
          <w:tcPr>
            <w:tcW w:type="dxa" w:w="199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Q2</w:t>
            </w:r>
          </w:p>
        </w:tc>
        <w:tc>
          <w:tcPr>
            <w:tcW w:type="dxa" w:w="764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Pune office opened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Q3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ISO 27001 surveillance audit passed</w:t>
            </w:r>
          </w:p>
        </w:tc>
      </w:tr>
      <w:tr>
        <w:tc>
          <w:tcPr>
            <w:tcW w:type="dxa" w:w="199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Q4</w:t>
            </w:r>
          </w:p>
        </w:tc>
        <w:tc>
          <w:tcPr>
            <w:tcW w:type="dxa" w:w="764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Healthcare analytics pilot with two hospital groups</w:t>
            </w:r>
          </w:p>
        </w:tc>
      </w:tr>
    </w:tbl>
    <w:p>
      <w:pPr>
        <w:spacing w:after="80"/>
      </w:pPr>
    </w:p>
    <w:p>
      <w:pPr>
        <w:pStyle w:val="Heading1"/>
      </w:pPr>
      <w:r>
        <w:t>04  Products</w:t>
      </w:r>
    </w:p>
    <w:p>
      <w:pPr>
        <w:jc w:val="both"/>
      </w:pPr>
      <w:r>
        <w:t>Our product portfolio grew from two to five products this year, all built on a shared data platform.</w:t>
      </w:r>
    </w:p>
    <w:p>
      <w:pPr>
        <w:pStyle w:val="Heading2"/>
      </w:pPr>
      <w:r>
        <w:t>What we did</w:t>
      </w:r>
    </w:p>
    <w:p>
      <w:pPr>
        <w:pStyle w:val="ListBullet"/>
      </w:pPr>
      <w:r>
        <w:t>Forecast Pro for demand planning</w:t>
      </w:r>
    </w:p>
    <w:p>
      <w:pPr>
        <w:pStyle w:val="ListBullet"/>
      </w:pPr>
      <w:r>
        <w:t>StockSense for inventory optimisation</w:t>
      </w:r>
    </w:p>
    <w:p>
      <w:pPr>
        <w:pStyle w:val="ListBullet"/>
      </w:pPr>
      <w:r>
        <w:t>CustomerLens for segmentation</w:t>
      </w:r>
    </w:p>
    <w:p>
      <w:pPr>
        <w:pStyle w:val="ListBullet"/>
      </w:pPr>
      <w:r>
        <w:t>A shared data connector library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 releases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12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Platform uptime</w:t>
            </w:r>
          </w:p>
        </w:tc>
        <w:tc>
          <w:tcPr>
            <w:tcW w:type="dxa" w:w="17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99.5%</w:t>
            </w:r>
          </w:p>
        </w:tc>
        <w:tc>
          <w:tcPr>
            <w:tcW w:type="dxa" w:w="17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99.8%</w:t>
            </w:r>
          </w:p>
        </w:tc>
        <w:tc>
          <w:tcPr>
            <w:tcW w:type="dxa" w:w="219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Active client users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figure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Story of change</w:t>
            </w:r>
          </w:p>
          <w:p>
            <w:pPr>
              <w:spacing w:after="0"/>
            </w:pPr>
            <w:r>
              <w:t>A regional grocery chain reduced stock-outs significantly in its first season with Forecast Pro (client-reported).</w:t>
            </w:r>
          </w:p>
        </w:tc>
      </w:tr>
    </w:tbl>
    <w:p>
      <w:pPr>
        <w:spacing w:after="40"/>
      </w:pPr>
    </w:p>
    <w:p>
      <w:pPr>
        <w:pStyle w:val="Heading1"/>
      </w:pPr>
      <w:r>
        <w:t>05  Clients and Markets</w:t>
      </w:r>
    </w:p>
    <w:p>
      <w:pPr>
        <w:jc w:val="both"/>
      </w:pPr>
      <w:r>
        <w:t>We focused on mid-sized retail, logistics and healthcare companies where analytics has the most immediate impact.</w:t>
      </w:r>
    </w:p>
    <w:p>
      <w:pPr>
        <w:pStyle w:val="Heading2"/>
      </w:pPr>
      <w:r>
        <w:t>What we did</w:t>
      </w:r>
    </w:p>
    <w:p>
      <w:pPr>
        <w:pStyle w:val="ListBullet"/>
      </w:pPr>
      <w:r>
        <w:t>Added clients in five new states</w:t>
      </w:r>
    </w:p>
    <w:p>
      <w:pPr>
        <w:pStyle w:val="ListBullet"/>
      </w:pPr>
      <w:r>
        <w:t>Partnered with two system integrators</w:t>
      </w:r>
    </w:p>
    <w:p>
      <w:pPr>
        <w:pStyle w:val="ListBullet"/>
      </w:pPr>
      <w:r>
        <w:t>Ran 18 client workshops</w:t>
      </w:r>
    </w:p>
    <w:p>
      <w:pPr>
        <w:pStyle w:val="ListBullet"/>
      </w:pPr>
      <w:r>
        <w:t>Launched a client community forum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New clients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46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Client retention</w:t>
            </w:r>
          </w:p>
        </w:tc>
        <w:tc>
          <w:tcPr>
            <w:tcW w:type="dxa" w:w="17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92%</w:t>
            </w:r>
          </w:p>
        </w:tc>
        <w:tc>
          <w:tcPr>
            <w:tcW w:type="dxa" w:w="17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94%</w:t>
            </w:r>
          </w:p>
        </w:tc>
        <w:tc>
          <w:tcPr>
            <w:tcW w:type="dxa" w:w="219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Net promoter score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54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Story of change</w:t>
            </w:r>
          </w:p>
          <w:p>
            <w:pPr>
              <w:spacing w:after="0"/>
            </w:pPr>
            <w:r>
              <w:t>A logistics client used StockSense to rebalance warehouse stock across three cities and cut emergency shipments.</w:t>
            </w:r>
          </w:p>
        </w:tc>
      </w:tr>
    </w:tbl>
    <w:p>
      <w:pPr>
        <w:spacing w:after="40"/>
      </w:pPr>
    </w:p>
    <w:p>
      <w:pPr>
        <w:pStyle w:val="Heading1"/>
      </w:pPr>
      <w:r>
        <w:t>06  People and Culture</w:t>
      </w:r>
    </w:p>
    <w:p>
      <w:pPr>
        <w:jc w:val="both"/>
      </w:pPr>
      <w:r>
        <w:t>Our team grew to 212 people. We invested in learning, wellbeing and an inclusive workplace.</w:t>
      </w:r>
    </w:p>
    <w:p>
      <w:pPr>
        <w:pStyle w:val="Heading2"/>
      </w:pPr>
      <w:r>
        <w:t>What we did</w:t>
      </w:r>
    </w:p>
    <w:p>
      <w:pPr>
        <w:pStyle w:val="ListBullet"/>
      </w:pPr>
      <w:r>
        <w:t>Opened Pune office</w:t>
      </w:r>
    </w:p>
    <w:p>
      <w:pPr>
        <w:pStyle w:val="ListBullet"/>
      </w:pPr>
      <w:r>
        <w:t>Launched a learning budget for every employee</w:t>
      </w:r>
    </w:p>
    <w:p>
      <w:pPr>
        <w:pStyle w:val="ListBullet"/>
      </w:pPr>
      <w:r>
        <w:t>Mentorship programme for new joiners</w:t>
      </w:r>
    </w:p>
    <w:p>
      <w:pPr>
        <w:pStyle w:val="ListBullet"/>
      </w:pPr>
      <w:r>
        <w:t>Quarterly wellbeing days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Employees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212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Women in workforce</w:t>
            </w:r>
          </w:p>
        </w:tc>
        <w:tc>
          <w:tcPr>
            <w:tcW w:type="dxa" w:w="17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35%</w:t>
            </w:r>
          </w:p>
        </w:tc>
        <w:tc>
          <w:tcPr>
            <w:tcW w:type="dxa" w:w="17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37%</w:t>
            </w:r>
          </w:p>
        </w:tc>
        <w:tc>
          <w:tcPr>
            <w:tcW w:type="dxa" w:w="219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Training hours per employee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34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Story of change</w:t>
            </w:r>
          </w:p>
          <w:p>
            <w:pPr>
              <w:spacing w:after="0"/>
            </w:pPr>
            <w:r>
              <w:t>Our first cohort of graduate trainees from tier-2 colleges all moved into full-time roles.</w:t>
            </w:r>
          </w:p>
        </w:tc>
      </w:tr>
    </w:tbl>
    <w:p>
      <w:pPr>
        <w:spacing w:after="40"/>
      </w:pPr>
    </w:p>
    <w:p>
      <w:pPr>
        <w:pStyle w:val="Heading1"/>
      </w:pPr>
      <w:r>
        <w:t>07  People and Governance</w:t>
      </w:r>
    </w:p>
    <w:p>
      <w:pPr>
        <w:jc w:val="both"/>
      </w:pPr>
      <w:r>
        <w:t>The Board of Directors meets at least four times a year. The Audit Committee and the Nomination and Remuneration Committee oversee financial reporting and leadership appointments.</w:t>
      </w:r>
    </w:p>
    <w:p>
      <w:pPr>
        <w:pStyle w:val="Heading2"/>
      </w:pPr>
      <w:r>
        <w:t>Board / Governing Council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Since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Rahul Menon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Managing Director &amp; CEO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2017</w:t>
            </w:r>
          </w:p>
        </w:tc>
      </w:tr>
      <w:tr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Priya Nair</w:t>
            </w:r>
          </w:p>
        </w:tc>
        <w:tc>
          <w:tcPr>
            <w:tcW w:type="dxa" w:w="413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Director, Technology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2017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Arvind Kapoor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Independent Director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2021</w:t>
            </w:r>
          </w:p>
        </w:tc>
      </w:tr>
      <w:tr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Leena D’Souza</w:t>
            </w:r>
          </w:p>
        </w:tc>
        <w:tc>
          <w:tcPr>
            <w:tcW w:type="dxa" w:w="413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Independent Director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2023</w:t>
            </w:r>
          </w:p>
        </w:tc>
      </w:tr>
    </w:tbl>
    <w:p>
      <w:pPr>
        <w:spacing w:after="80"/>
      </w:pPr>
    </w:p>
    <w:p>
      <w:pPr>
        <w:pStyle w:val="Heading2"/>
      </w:pPr>
      <w:r>
        <w:t>Our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Function</w:t>
            </w:r>
          </w:p>
        </w:tc>
        <w:tc>
          <w:tcPr>
            <w:tcW w:type="dxa" w:w="344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Headcount (sample)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Engineering and data science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118</w:t>
            </w:r>
          </w:p>
        </w:tc>
      </w:tr>
      <w:tr>
        <w:tc>
          <w:tcPr>
            <w:tcW w:type="dxa" w:w="619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Customer success and sales</w:t>
            </w:r>
          </w:p>
        </w:tc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56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 and design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18</w:t>
            </w:r>
          </w:p>
        </w:tc>
      </w:tr>
      <w:tr>
        <w:tc>
          <w:tcPr>
            <w:tcW w:type="dxa" w:w="619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Corporate functions</w:t>
            </w:r>
          </w:p>
        </w:tc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20</w:t>
            </w:r>
          </w:p>
        </w:tc>
      </w:tr>
    </w:tbl>
    <w:p>
      <w:pPr>
        <w:spacing w:after="80"/>
      </w:pPr>
    </w:p>
    <w:p>
      <w:pPr>
        <w:pStyle w:val="Heading1"/>
      </w:pPr>
      <w:r>
        <w:t>08  Financial Summary</w:t>
      </w:r>
    </w:p>
    <w:p>
      <w:pPr>
        <w:jc w:val="both"/>
      </w:pPr>
      <w:r>
        <w:t>The summary below is presented in a format that is easy to compare year on year. All amounts are sample figures for the template.</w:t>
      </w:r>
    </w:p>
    <w:p>
      <w:pPr>
        <w:pStyle w:val="Heading2"/>
      </w:pPr>
      <w:r>
        <w:t>Income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685"/>
        <w:gridCol w:w="2476"/>
        <w:gridCol w:w="2476"/>
      </w:tblGrid>
      <w:tr>
        <w:trPr>
          <w:tblHeader/>
        </w:trPr>
        <w:tc>
          <w:tcPr>
            <w:tcW w:type="dxa" w:w="468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Source</w:t>
            </w:r>
          </w:p>
        </w:tc>
        <w:tc>
          <w:tcPr>
            <w:tcW w:type="dxa" w:w="247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47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Subscription revenue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Services revenue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Other income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Total income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2"/>
      </w:pPr>
      <w:r>
        <w:t>Expenditure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685"/>
        <w:gridCol w:w="2476"/>
        <w:gridCol w:w="2476"/>
      </w:tblGrid>
      <w:tr>
        <w:trPr>
          <w:tblHeader/>
        </w:trPr>
        <w:tc>
          <w:tcPr>
            <w:tcW w:type="dxa" w:w="468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247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47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Employee costs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Cloud and technology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Sales and marketing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Other expenses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Profit before tax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09  Acknowledgements</w:t>
      </w:r>
    </w:p>
    <w:p>
      <w:pPr>
        <w:jc w:val="both"/>
      </w:pPr>
      <w:r>
        <w:t>We thank our clients, partners, employees and shareholders for their trust and support.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Category</w:t>
            </w:r>
          </w:p>
        </w:tc>
        <w:tc>
          <w:tcPr>
            <w:tcW w:type="dxa" w:w="697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Partners (replace with your own)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Cloud partners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Partner A</w:t>
            </w:r>
          </w:p>
        </w:tc>
      </w:tr>
      <w:tr>
        <w:tc>
          <w:tcPr>
            <w:tcW w:type="dxa" w:w="265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System integrators</w:t>
            </w:r>
          </w:p>
        </w:tc>
        <w:tc>
          <w:tcPr>
            <w:tcW w:type="dxa" w:w="697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Partner B, Partner C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Academic partners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University D</w:t>
            </w:r>
          </w:p>
        </w:tc>
      </w:tr>
    </w:tbl>
    <w:p>
      <w:pPr>
        <w:spacing w:after="80"/>
      </w:pPr>
    </w:p>
    <w:p>
      <w:pPr>
        <w:pStyle w:val="Heading1"/>
      </w:pPr>
      <w:r>
        <w:t>10  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Level 5, Your Tech Park, Bengaluru 560103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+91 80 0000 0000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investors@yourdomain.com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www.yourdomain.com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Northwind Analytics Pvt. Ltd.</w:t>
    </w:r>
    <w:r>
      <w:rPr>
        <w:color w:val="6F7581"/>
        <w:sz w:val="17"/>
      </w:rPr>
      <w:tab/>
      <w:t>Annual Report 2025–26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Cambria" w:hAnsi="Cambria" w:cs="Cambria" w:eastAsia="Cambria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83184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