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rPr>
          <w:trHeight w:val="1569" w:hRule="exact"/>
        </w:trPr>
        <w:tc>
          <w:tcPr>
            <w:tcW w:type="dxa" w:w="1569"/>
            <w:shd w:val="clear" w:color="auto" w:fill="850D2A"/>
          </w:tcPr>
          <w:p/>
        </w:tc>
        <w:tc>
          <w:tcPr>
            <w:tcW w:type="dxa" w:w="1569"/>
            <w:shd w:val="clear" w:color="auto" w:fill="F8E7EC"/>
          </w:tcPr>
          <w:p/>
        </w:tc>
        <w:tc>
          <w:tcPr>
            <w:tcW w:type="dxa" w:w="1569"/>
            <w:shd w:val="clear" w:color="auto" w:fill="111827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BE123C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BE123C"/>
          </w:tcPr>
          <w:p/>
        </w:tc>
        <w:tc>
          <w:tcPr>
            <w:tcW w:type="dxa" w:w="1569"/>
            <w:shd w:val="clear" w:color="auto" w:fill="F1CBD4"/>
          </w:tcPr>
          <w:p/>
        </w:tc>
        <w:tc>
          <w:tcPr>
            <w:tcW w:type="dxa" w:w="1569"/>
            <w:shd w:val="clear" w:color="auto" w:fill="850D2A"/>
          </w:tcPr>
          <w:p/>
        </w:tc>
        <w:tc>
          <w:tcPr>
            <w:tcW w:type="dxa" w:w="1569"/>
            <w:shd w:val="clear" w:color="auto" w:fill="111827"/>
          </w:tcPr>
          <w:p/>
        </w:tc>
        <w:tc>
          <w:tcPr>
            <w:tcW w:type="dxa" w:w="1569"/>
            <w:shd w:val="clear" w:color="auto" w:fill="850D2A"/>
          </w:tcPr>
          <w:p/>
        </w:tc>
        <w:tc>
          <w:tcPr>
            <w:tcW w:type="dxa" w:w="1569"/>
            <w:shd w:val="clear" w:color="auto" w:fill="F1CBD4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F8E7EC"/>
          </w:tcPr>
          <w:p/>
        </w:tc>
        <w:tc>
          <w:tcPr>
            <w:tcW w:type="dxa" w:w="1569"/>
            <w:shd w:val="clear" w:color="auto" w:fill="F1CBD4"/>
          </w:tcPr>
          <w:p/>
        </w:tc>
        <w:tc>
          <w:tcPr>
            <w:tcW w:type="dxa" w:w="1569"/>
            <w:shd w:val="clear" w:color="auto" w:fill="111827"/>
          </w:tcPr>
          <w:p/>
        </w:tc>
        <w:tc>
          <w:tcPr>
            <w:tcW w:type="dxa" w:w="1569"/>
            <w:shd w:val="clear" w:color="auto" w:fill="850D2A"/>
          </w:tcPr>
          <w:p/>
        </w:tc>
        <w:tc>
          <w:tcPr>
            <w:tcW w:type="dxa" w:w="1569"/>
            <w:shd w:val="clear" w:color="auto" w:fill="850D2A"/>
          </w:tcPr>
          <w:p/>
        </w:tc>
        <w:tc>
          <w:tcPr>
            <w:tcW w:type="dxa" w:w="1569"/>
            <w:shd w:val="clear" w:color="auto" w:fill="111827"/>
          </w:tcPr>
          <w:p/>
        </w:tc>
      </w:tr>
      <w:tr>
        <w:trPr>
          <w:trHeight w:val="1569" w:hRule="exact"/>
        </w:trPr>
        <w:tc>
          <w:tcPr>
            <w:tcW w:type="dxa" w:w="1569"/>
            <w:shd w:val="clear" w:color="auto" w:fill="850D2A"/>
          </w:tcPr>
          <w:p/>
        </w:tc>
        <w:tc>
          <w:tcPr>
            <w:tcW w:type="dxa" w:w="1569"/>
            <w:shd w:val="clear" w:color="auto" w:fill="FFFFFF"/>
          </w:tcPr>
          <w:p/>
        </w:tc>
        <w:tc>
          <w:tcPr>
            <w:tcW w:type="dxa" w:w="1569"/>
            <w:shd w:val="clear" w:color="auto" w:fill="850D2A"/>
          </w:tcPr>
          <w:p/>
        </w:tc>
        <w:tc>
          <w:tcPr>
            <w:tcW w:type="dxa" w:w="1569"/>
            <w:shd w:val="clear" w:color="auto" w:fill="F1CBD4"/>
          </w:tcPr>
          <w:p/>
        </w:tc>
        <w:tc>
          <w:tcPr>
            <w:tcW w:type="dxa" w:w="1569"/>
            <w:shd w:val="clear" w:color="auto" w:fill="111827"/>
          </w:tcPr>
          <w:p/>
        </w:tc>
        <w:tc>
          <w:tcPr>
            <w:tcW w:type="dxa" w:w="1569"/>
            <w:shd w:val="clear" w:color="auto" w:fill="111827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BE123C"/>
          <w:sz w:val="20"/>
          <w:spacing w:val="40"/>
        </w:rPr>
        <w:t>Annual Report</w:t>
      </w:r>
    </w:p>
    <w:p>
      <w:pPr>
        <w:pStyle w:val="Title"/>
      </w:pPr>
      <w:r>
        <w:rPr>
          <w:sz w:val="84"/>
        </w:rPr>
        <w:t>Asha Rural Education Foundation</w:t>
      </w:r>
    </w:p>
    <w:p>
      <w:r>
        <w:rPr>
          <w:b w:val="0"/>
          <w:i w:val="0"/>
          <w:color w:val="6B7079"/>
          <w:sz w:val="26"/>
        </w:rPr>
        <w:t>Annual Report 2025–26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REPORTING PERIOD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REGISTERED OFFICE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REGISTRATION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1 April 2025 – 31 March 2026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Jaipur, Rajasthan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Registered trust under the Indian Trusts Act (sample)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About Us</w:t>
      </w:r>
      <w:r>
        <w:tab/>
        <w:t>3</w:t>
      </w:r>
    </w:p>
    <w:p>
      <w:pPr>
        <w:pStyle w:val="TOC1"/>
      </w:pPr>
      <w:r>
        <w:t>02  Message from the Chairperson</w:t>
      </w:r>
      <w:r>
        <w:tab/>
        <w:t>4</w:t>
      </w:r>
    </w:p>
    <w:p>
      <w:pPr>
        <w:pStyle w:val="TOC1"/>
      </w:pPr>
      <w:r>
        <w:t>03  The Year at a Glance</w:t>
      </w:r>
      <w:r>
        <w:tab/>
        <w:t>5</w:t>
      </w:r>
    </w:p>
    <w:p>
      <w:pPr>
        <w:pStyle w:val="TOC2"/>
      </w:pPr>
      <w:r>
        <w:t>Highlights of the Year</w:t>
      </w:r>
      <w:r>
        <w:tab/>
        <w:t>5</w:t>
      </w:r>
    </w:p>
    <w:p>
      <w:pPr>
        <w:pStyle w:val="TOC1"/>
      </w:pPr>
      <w:r>
        <w:t>04  Foundational Literacy and Numeracy</w:t>
      </w:r>
      <w:r>
        <w:tab/>
        <w:t>6</w:t>
      </w:r>
    </w:p>
    <w:p>
      <w:pPr>
        <w:pStyle w:val="TOC2"/>
      </w:pPr>
      <w:r>
        <w:t>What we did</w:t>
      </w:r>
      <w:r>
        <w:tab/>
        <w:t>6</w:t>
      </w:r>
    </w:p>
    <w:p>
      <w:pPr>
        <w:pStyle w:val="TOC2"/>
      </w:pPr>
      <w:r>
        <w:t>Results (sample data)</w:t>
      </w:r>
      <w:r>
        <w:tab/>
        <w:t>6</w:t>
      </w:r>
    </w:p>
    <w:p>
      <w:pPr>
        <w:pStyle w:val="TOC1"/>
      </w:pPr>
      <w:r>
        <w:t>05  Teacher Development</w:t>
      </w:r>
      <w:r>
        <w:tab/>
        <w:t>7</w:t>
      </w:r>
    </w:p>
    <w:p>
      <w:pPr>
        <w:pStyle w:val="TOC2"/>
      </w:pPr>
      <w:r>
        <w:t>What we did</w:t>
      </w:r>
      <w:r>
        <w:tab/>
        <w:t>7</w:t>
      </w:r>
    </w:p>
    <w:p>
      <w:pPr>
        <w:pStyle w:val="TOC2"/>
      </w:pPr>
      <w:r>
        <w:t>Results (sample data)</w:t>
      </w:r>
      <w:r>
        <w:tab/>
        <w:t>7</w:t>
      </w:r>
    </w:p>
    <w:p>
      <w:pPr>
        <w:pStyle w:val="TOC1"/>
      </w:pPr>
      <w:r>
        <w:t>06  Girls’ Education Scholarships</w:t>
      </w:r>
      <w:r>
        <w:tab/>
        <w:t>8</w:t>
      </w:r>
    </w:p>
    <w:p>
      <w:pPr>
        <w:pStyle w:val="TOC2"/>
      </w:pPr>
      <w:r>
        <w:t>What we did</w:t>
      </w:r>
      <w:r>
        <w:tab/>
        <w:t>8</w:t>
      </w:r>
    </w:p>
    <w:p>
      <w:pPr>
        <w:pStyle w:val="TOC2"/>
      </w:pPr>
      <w:r>
        <w:t>Results (sample data)</w:t>
      </w:r>
      <w:r>
        <w:tab/>
        <w:t>8</w:t>
      </w:r>
    </w:p>
    <w:p>
      <w:pPr>
        <w:pStyle w:val="TOC1"/>
      </w:pPr>
      <w:r>
        <w:t>07  People and Governance</w:t>
      </w:r>
      <w:r>
        <w:tab/>
        <w:t>9</w:t>
      </w:r>
    </w:p>
    <w:p>
      <w:pPr>
        <w:pStyle w:val="TOC2"/>
      </w:pPr>
      <w:r>
        <w:t>Board / Governing Council</w:t>
      </w:r>
      <w:r>
        <w:tab/>
        <w:t>9</w:t>
      </w:r>
    </w:p>
    <w:p>
      <w:pPr>
        <w:pStyle w:val="TOC2"/>
      </w:pPr>
      <w:r>
        <w:t>Our Team</w:t>
      </w:r>
      <w:r>
        <w:tab/>
        <w:t>9</w:t>
      </w:r>
    </w:p>
    <w:p>
      <w:pPr>
        <w:pStyle w:val="TOC1"/>
      </w:pPr>
      <w:r>
        <w:t>08  Financial Summary</w:t>
      </w:r>
      <w:r>
        <w:tab/>
        <w:t>10</w:t>
      </w:r>
    </w:p>
    <w:p>
      <w:pPr>
        <w:pStyle w:val="TOC2"/>
      </w:pPr>
      <w:r>
        <w:t>Income</w:t>
      </w:r>
      <w:r>
        <w:tab/>
        <w:t>10</w:t>
      </w:r>
    </w:p>
    <w:p>
      <w:pPr>
        <w:pStyle w:val="TOC2"/>
      </w:pPr>
      <w:r>
        <w:t>Expenditure</w:t>
      </w:r>
      <w:r>
        <w:tab/>
        <w:t>10</w:t>
      </w:r>
    </w:p>
    <w:p>
      <w:pPr>
        <w:pStyle w:val="TOC1"/>
      </w:pPr>
      <w:r>
        <w:t>09  Thank You to Our Supporters</w:t>
      </w:r>
      <w:r>
        <w:tab/>
        <w:t>11</w:t>
      </w:r>
    </w:p>
    <w:p>
      <w:pPr>
        <w:pStyle w:val="TOC1"/>
      </w:pPr>
      <w:r>
        <w:t>10  Contact Us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About Us</w:t>
      </w:r>
    </w:p>
    <w:p>
      <w:pPr>
        <w:jc w:val="both"/>
      </w:pPr>
      <w:r>
        <w:t>Asha Rural Education Foundation works with government schools in rural Rajasthan to help children read, write and do maths with confidence. We train teachers, run after-school learning centres and support girls to stay in school beyond class 8.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Vision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Every child in rural India learns with joy and completes school.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Mission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To improve foundational learning and school completion through teacher support, community learning centres and girls’ scholarships.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Founded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2014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Where we work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120 villages in 4 districts of Rajasthan</w:t>
            </w:r>
          </w:p>
        </w:tc>
      </w:tr>
    </w:tbl>
    <w:p>
      <w:pPr>
        <w:spacing w:after="80"/>
      </w:pPr>
    </w:p>
    <w:p>
      <w:pPr>
        <w:pStyle w:val="Heading1"/>
      </w:pPr>
      <w:r>
        <w:t>02  Message from the Chairperson</w:t>
      </w:r>
    </w:p>
    <w:p>
      <w:pPr>
        <w:jc w:val="both"/>
      </w:pPr>
      <w:r>
        <w:t>Dear friends, this was a year of steady growth. With your support we reached more children than ever before, and — more importantly — more of them are reading fluently by the end of class 3.</w:t>
      </w:r>
    </w:p>
    <w:p>
      <w:pPr>
        <w:jc w:val="both"/>
      </w:pPr>
      <w:r>
        <w:t>Our community learning centres stayed open through the summer, and our girls’ scholarship programme helped many first-generation learners move into secondary school. None of this would be possible without our teachers, volunteers and partners.</w:t>
      </w:r>
    </w:p>
    <w:p>
      <w:pPr>
        <w:jc w:val="both"/>
      </w:pPr>
      <w:r>
        <w:t>As we enter our second decade, we will focus on quality: deeper teacher training, better learning materials and careful measurement of what works.</w:t>
      </w:r>
    </w:p>
    <w:p>
      <w:pPr>
        <w:spacing w:after="0" w:before="280"/>
      </w:pPr>
      <w:r>
        <w:rPr>
          <w:b/>
        </w:rPr>
        <w:t>Smt. Kavita Rathore</w:t>
      </w:r>
    </w:p>
    <w:p>
      <w:r>
        <w:rPr>
          <w:color w:val="6B7079"/>
        </w:rPr>
        <w:t>Chairperson, Board of Trustees</w:t>
      </w:r>
    </w:p>
    <w:p>
      <w:pPr>
        <w:pStyle w:val="Heading1"/>
      </w:pPr>
      <w:r>
        <w:t>03  The Year 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CBD4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BE123C"/>
                <w:sz w:val="40"/>
              </w:rPr>
              <w:t>18,400</w:t>
            </w:r>
          </w:p>
          <w:p>
            <w:pPr>
              <w:spacing w:after="0"/>
            </w:pPr>
            <w:r>
              <w:rPr>
                <w:sz w:val="18"/>
              </w:rPr>
              <w:t>children reached</w:t>
            </w:r>
          </w:p>
        </w:tc>
        <w:tc>
          <w:tcPr>
            <w:tcW w:type="dxa" w:w="2353"/>
            <w:shd w:val="clear" w:color="auto" w:fill="F1CBD4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BE123C"/>
                <w:sz w:val="40"/>
              </w:rPr>
              <w:t>640</w:t>
            </w:r>
          </w:p>
          <w:p>
            <w:pPr>
              <w:spacing w:after="0"/>
            </w:pPr>
            <w:r>
              <w:rPr>
                <w:sz w:val="18"/>
              </w:rPr>
              <w:t>teachers trained</w:t>
            </w:r>
          </w:p>
        </w:tc>
        <w:tc>
          <w:tcPr>
            <w:tcW w:type="dxa" w:w="2353"/>
            <w:shd w:val="clear" w:color="auto" w:fill="F1CBD4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BE123C"/>
                <w:sz w:val="40"/>
              </w:rPr>
              <w:t>96</w:t>
            </w:r>
          </w:p>
          <w:p>
            <w:pPr>
              <w:spacing w:after="0"/>
            </w:pPr>
            <w:r>
              <w:rPr>
                <w:sz w:val="18"/>
              </w:rPr>
              <w:t>learning centres</w:t>
            </w:r>
          </w:p>
        </w:tc>
        <w:tc>
          <w:tcPr>
            <w:tcW w:type="dxa" w:w="2353"/>
            <w:shd w:val="clear" w:color="auto" w:fill="F1CBD4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BE123C"/>
                <w:sz w:val="40"/>
              </w:rPr>
              <w:t>1,150</w:t>
            </w:r>
          </w:p>
          <w:p>
            <w:pPr>
              <w:spacing w:after="0"/>
            </w:pPr>
            <w:r>
              <w:rPr>
                <w:sz w:val="18"/>
              </w:rPr>
              <w:t>girls on scholarships</w:t>
            </w:r>
          </w:p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CBD4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BE123C"/>
                <w:sz w:val="40"/>
              </w:rPr>
              <w:t>120</w:t>
            </w:r>
          </w:p>
          <w:p>
            <w:pPr>
              <w:spacing w:after="0"/>
            </w:pPr>
            <w:r>
              <w:rPr>
                <w:sz w:val="18"/>
              </w:rPr>
              <w:t>villages</w:t>
            </w:r>
          </w:p>
        </w:tc>
        <w:tc>
          <w:tcPr>
            <w:tcW w:type="dxa" w:w="2353"/>
            <w:shd w:val="clear" w:color="auto" w:fill="F1CBD4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BE123C"/>
                <w:sz w:val="40"/>
              </w:rPr>
              <w:t>4</w:t>
            </w:r>
          </w:p>
          <w:p>
            <w:pPr>
              <w:spacing w:after="0"/>
            </w:pPr>
            <w:r>
              <w:rPr>
                <w:sz w:val="18"/>
              </w:rPr>
              <w:t>districts</w:t>
            </w:r>
          </w:p>
        </w:tc>
        <w:tc>
          <w:tcPr>
            <w:tcW w:type="dxa" w:w="2353"/>
            <w:shd w:val="clear" w:color="auto" w:fill="F1CBD4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BE123C"/>
                <w:sz w:val="40"/>
              </w:rPr>
              <w:t>310</w:t>
            </w:r>
          </w:p>
          <w:p>
            <w:pPr>
              <w:spacing w:after="0"/>
            </w:pPr>
            <w:r>
              <w:rPr>
                <w:sz w:val="18"/>
              </w:rPr>
              <w:t>volunteers</w:t>
            </w:r>
          </w:p>
        </w:tc>
        <w:tc>
          <w:tcPr>
            <w:tcW w:type="dxa" w:w="2353"/>
            <w:shd w:val="clear" w:color="auto" w:fill="F1CBD4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BE123C"/>
                <w:sz w:val="40"/>
              </w:rPr>
              <w:t>92%</w:t>
            </w:r>
          </w:p>
          <w:p>
            <w:pPr>
              <w:spacing w:after="0"/>
            </w:pPr>
            <w:r>
              <w:rPr>
                <w:sz w:val="18"/>
              </w:rPr>
              <w:t>centre attendance</w:t>
            </w:r>
          </w:p>
        </w:tc>
      </w:tr>
    </w:tbl>
    <w:p>
      <w:pPr>
        <w:spacing w:after="120"/>
      </w:pPr>
    </w:p>
    <w:p>
      <w:pPr>
        <w:pStyle w:val="Caption"/>
        <w:jc w:val="center"/>
      </w:pPr>
      <w:r>
        <w:t>Figures in this report are illustrative sample data for the template; replace them with your audited numbers.</w:t>
      </w:r>
    </w:p>
    <w:p>
      <w:pPr>
        <w:pStyle w:val="Heading2"/>
      </w:pPr>
      <w:r>
        <w:t>Highlights of the Year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7464"/>
      </w:tblGrid>
      <w:tr>
        <w:trPr>
          <w:tblHeader/>
        </w:trPr>
        <w:tc>
          <w:tcPr>
            <w:tcW w:type="dxa" w:w="194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Quarter</w:t>
            </w:r>
          </w:p>
        </w:tc>
        <w:tc>
          <w:tcPr>
            <w:tcW w:type="dxa" w:w="7464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</w:tr>
      <w:t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Q1</w:t>
            </w:r>
          </w:p>
        </w:tc>
        <w:tc>
          <w:tcPr>
            <w:tcW w:type="dxa" w:w="746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Summer reading camps in 60 villages</w:t>
            </w:r>
          </w:p>
        </w:tc>
      </w:tr>
      <w:tr>
        <w:tc>
          <w:tcPr>
            <w:tcW w:type="dxa" w:w="194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Q2</w:t>
            </w:r>
          </w:p>
        </w:tc>
        <w:tc>
          <w:tcPr>
            <w:tcW w:type="dxa" w:w="746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New maths kit introduced in all centres</w:t>
            </w:r>
          </w:p>
        </w:tc>
      </w:tr>
      <w:t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Q3</w:t>
            </w:r>
          </w:p>
        </w:tc>
        <w:tc>
          <w:tcPr>
            <w:tcW w:type="dxa" w:w="746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District-level teacher conference held in Ajmer</w:t>
            </w:r>
          </w:p>
        </w:tc>
      </w:tr>
      <w:tr>
        <w:tc>
          <w:tcPr>
            <w:tcW w:type="dxa" w:w="194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Q4</w:t>
            </w:r>
          </w:p>
        </w:tc>
        <w:tc>
          <w:tcPr>
            <w:tcW w:type="dxa" w:w="746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Annual learning assessment completed for 9,000 children</w:t>
            </w:r>
          </w:p>
        </w:tc>
      </w:tr>
    </w:tbl>
    <w:p>
      <w:pPr>
        <w:spacing w:after="80"/>
      </w:pPr>
    </w:p>
    <w:p>
      <w:pPr>
        <w:pStyle w:val="Heading1"/>
      </w:pPr>
      <w:r>
        <w:t>04  Foundational Literacy and Numeracy</w:t>
      </w:r>
    </w:p>
    <w:p>
      <w:pPr>
        <w:jc w:val="both"/>
      </w:pPr>
      <w:r>
        <w:t>Our core programme helps children in classes 1 to 5 build reading and maths skills through daily activity-based sessions run by trained community teachers.</w:t>
      </w:r>
    </w:p>
    <w:p>
      <w:pPr>
        <w:pStyle w:val="Heading2"/>
      </w:pPr>
      <w:r>
        <w:t>What we did</w:t>
      </w:r>
    </w:p>
    <w:p>
      <w:pPr>
        <w:pStyle w:val="ListBullet"/>
      </w:pPr>
      <w:r>
        <w:t>Daily 90-minute sessions in 96 learning centres</w:t>
      </w:r>
    </w:p>
    <w:p>
      <w:pPr>
        <w:pStyle w:val="ListBullet"/>
      </w:pPr>
      <w:r>
        <w:t>Graded readers in Hindi and local dialects</w:t>
      </w:r>
    </w:p>
    <w:p>
      <w:pPr>
        <w:pStyle w:val="ListBullet"/>
      </w:pPr>
      <w:r>
        <w:t>Monthly learning checks with simple tools</w:t>
      </w:r>
    </w:p>
    <w:p>
      <w:pPr>
        <w:pStyle w:val="ListBullet"/>
      </w:pPr>
      <w:r>
        <w:t>Parent meetings every quarter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Children enrolled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15,000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15,800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Children reading a short paragraph</w:t>
            </w:r>
          </w:p>
        </w:tc>
        <w:tc>
          <w:tcPr>
            <w:tcW w:type="dxa" w:w="168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60%</w:t>
            </w:r>
          </w:p>
        </w:tc>
        <w:tc>
          <w:tcPr>
            <w:tcW w:type="dxa" w:w="168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64%</w:t>
            </w:r>
          </w:p>
        </w:tc>
        <w:tc>
          <w:tcPr>
            <w:tcW w:type="dxa" w:w="214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Centres with monthly checks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93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Story of change</w:t>
            </w:r>
          </w:p>
          <w:p>
            <w:pPr>
              <w:spacing w:after="0"/>
            </w:pPr>
            <w:r>
              <w:t>Seema, a class 3 student from Kekri, could not recognise letters in June. By February she was reading story books aloud to her younger brother.</w:t>
            </w:r>
          </w:p>
        </w:tc>
      </w:tr>
    </w:tbl>
    <w:p>
      <w:pPr>
        <w:spacing w:after="40"/>
      </w:pPr>
    </w:p>
    <w:p>
      <w:pPr>
        <w:pStyle w:val="Heading1"/>
      </w:pPr>
      <w:r>
        <w:t>05  Teacher Development</w:t>
      </w:r>
    </w:p>
    <w:p>
      <w:pPr>
        <w:jc w:val="both"/>
      </w:pPr>
      <w:r>
        <w:t>We work alongside government school teachers through workshops, classroom coaching and peer learning circles.</w:t>
      </w:r>
    </w:p>
    <w:p>
      <w:pPr>
        <w:pStyle w:val="Heading2"/>
      </w:pPr>
      <w:r>
        <w:t>What we did</w:t>
      </w:r>
    </w:p>
    <w:p>
      <w:pPr>
        <w:pStyle w:val="ListBullet"/>
      </w:pPr>
      <w:r>
        <w:t>Four-day induction workshops each term</w:t>
      </w:r>
    </w:p>
    <w:p>
      <w:pPr>
        <w:pStyle w:val="ListBullet"/>
      </w:pPr>
      <w:r>
        <w:t>Monthly classroom coaching visits</w:t>
      </w:r>
    </w:p>
    <w:p>
      <w:pPr>
        <w:pStyle w:val="ListBullet"/>
      </w:pPr>
      <w:r>
        <w:t>Peer learning circles at cluster level</w:t>
      </w:r>
    </w:p>
    <w:p>
      <w:pPr>
        <w:pStyle w:val="ListBullet"/>
      </w:pPr>
      <w:r>
        <w:t>Teacher resource library in each block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Teachers trained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600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640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Coaching visits</w:t>
            </w:r>
          </w:p>
        </w:tc>
        <w:tc>
          <w:tcPr>
            <w:tcW w:type="dxa" w:w="168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4,000</w:t>
            </w:r>
          </w:p>
        </w:tc>
        <w:tc>
          <w:tcPr>
            <w:tcW w:type="dxa" w:w="168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3,720</w:t>
            </w:r>
          </w:p>
        </w:tc>
        <w:tc>
          <w:tcPr>
            <w:tcW w:type="dxa" w:w="214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Partly 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Teachers using new lesson plans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70%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74%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Story of change</w:t>
            </w:r>
          </w:p>
          <w:p>
            <w:pPr>
              <w:spacing w:after="0"/>
            </w:pPr>
            <w:r>
              <w:t>After attending peer circles, a teacher in Kishangarh began small-group reading — and her class average score rose by a third.</w:t>
            </w:r>
          </w:p>
        </w:tc>
      </w:tr>
    </w:tbl>
    <w:p>
      <w:pPr>
        <w:spacing w:after="40"/>
      </w:pPr>
    </w:p>
    <w:p>
      <w:pPr>
        <w:pStyle w:val="Heading1"/>
      </w:pPr>
      <w:r>
        <w:t>06  Girls’ Education Scholarships</w:t>
      </w:r>
    </w:p>
    <w:p>
      <w:pPr>
        <w:jc w:val="both"/>
      </w:pPr>
      <w:r>
        <w:t>Our scholarships cover fees, books, uniforms and bicycles for girls continuing to secondary school, along with mentoring.</w:t>
      </w:r>
    </w:p>
    <w:p>
      <w:pPr>
        <w:pStyle w:val="Heading2"/>
      </w:pPr>
      <w:r>
        <w:t>What we did</w:t>
      </w:r>
    </w:p>
    <w:p>
      <w:pPr>
        <w:pStyle w:val="ListBullet"/>
      </w:pPr>
      <w:r>
        <w:t>Scholarships for 1,150 girls</w:t>
      </w:r>
    </w:p>
    <w:p>
      <w:pPr>
        <w:pStyle w:val="ListBullet"/>
      </w:pPr>
      <w:r>
        <w:t>Bicycles for girls living over 3 km away</w:t>
      </w:r>
    </w:p>
    <w:p>
      <w:pPr>
        <w:pStyle w:val="ListBullet"/>
      </w:pPr>
      <w:r>
        <w:t>Monthly mentoring circles</w:t>
      </w:r>
    </w:p>
    <w:p>
      <w:pPr>
        <w:pStyle w:val="ListBullet"/>
      </w:pPr>
      <w:r>
        <w:t>Career awareness sessions in class 9 and 10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94"/>
        <w:gridCol w:w="1687"/>
        <w:gridCol w:w="1687"/>
        <w:gridCol w:w="2142"/>
      </w:tblGrid>
      <w:tr>
        <w:trPr>
          <w:tblHeader/>
        </w:trPr>
        <w:tc>
          <w:tcPr>
            <w:tcW w:type="dxa" w:w="3894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68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68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42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Girls supported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1,000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1,150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Girls continuing to next class</w:t>
            </w:r>
          </w:p>
        </w:tc>
        <w:tc>
          <w:tcPr>
            <w:tcW w:type="dxa" w:w="168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90%</w:t>
            </w:r>
          </w:p>
        </w:tc>
        <w:tc>
          <w:tcPr>
            <w:tcW w:type="dxa" w:w="168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94%</w:t>
            </w:r>
          </w:p>
        </w:tc>
        <w:tc>
          <w:tcPr>
            <w:tcW w:type="dxa" w:w="214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Mentoring sessions held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400</w:t>
            </w:r>
          </w:p>
        </w:tc>
        <w:tc>
          <w:tcPr>
            <w:tcW w:type="dxa" w:w="168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436</w:t>
            </w:r>
          </w:p>
        </w:tc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Story of change</w:t>
            </w:r>
          </w:p>
          <w:p>
            <w:pPr>
              <w:spacing w:after="0"/>
            </w:pPr>
            <w:r>
              <w:t>Pooja, the first girl in her village to finish class 10, now mentors younger girls and wants to become a nurse.</w:t>
            </w:r>
          </w:p>
        </w:tc>
      </w:tr>
    </w:tbl>
    <w:p>
      <w:pPr>
        <w:spacing w:after="40"/>
      </w:pPr>
    </w:p>
    <w:p>
      <w:pPr>
        <w:pStyle w:val="Heading1"/>
      </w:pPr>
      <w:r>
        <w:t>07  People and Governance</w:t>
      </w:r>
    </w:p>
    <w:p>
      <w:pPr>
        <w:jc w:val="both"/>
      </w:pPr>
      <w:r>
        <w:t>The Foundation is governed by a Board of Trustees that meets every quarter. An independent audit committee reviews finances, and all major policies are approved by the Board.</w:t>
      </w:r>
    </w:p>
    <w:p>
      <w:pPr>
        <w:pStyle w:val="Heading2"/>
      </w:pPr>
      <w:r>
        <w:t>Board / Governing Council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61"/>
        <w:gridCol w:w="4033"/>
        <w:gridCol w:w="2016"/>
      </w:tblGrid>
      <w:tr>
        <w:trPr>
          <w:tblHeader/>
        </w:trPr>
        <w:tc>
          <w:tcPr>
            <w:tcW w:type="dxa" w:w="3361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4033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201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Since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Smt. Kavita Rathore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Chairperson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2014</w:t>
            </w:r>
          </w:p>
        </w:tc>
      </w:tr>
      <w:tr>
        <w:tc>
          <w:tcPr>
            <w:tcW w:type="dxa" w:w="336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Dr. Anil Joshi</w:t>
            </w:r>
          </w:p>
        </w:tc>
        <w:tc>
          <w:tcPr>
            <w:tcW w:type="dxa" w:w="403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Trustee, education expert</w:t>
            </w:r>
          </w:p>
        </w:tc>
        <w:tc>
          <w:tcPr>
            <w:tcW w:type="dxa" w:w="201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2016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 Ritu Agarwal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Treasurer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2018</w:t>
            </w:r>
          </w:p>
        </w:tc>
      </w:tr>
      <w:tr>
        <w:tc>
          <w:tcPr>
            <w:tcW w:type="dxa" w:w="336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Shri Mahesh Meena</w:t>
            </w:r>
          </w:p>
        </w:tc>
        <w:tc>
          <w:tcPr>
            <w:tcW w:type="dxa" w:w="403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Trustee, community leader</w:t>
            </w:r>
          </w:p>
        </w:tc>
        <w:tc>
          <w:tcPr>
            <w:tcW w:type="dxa" w:w="201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2020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Ms. Sara Thomas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Trustee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2023</w:t>
            </w:r>
          </w:p>
        </w:tc>
      </w:tr>
    </w:tbl>
    <w:p>
      <w:pPr>
        <w:spacing w:after="80"/>
      </w:pPr>
    </w:p>
    <w:p>
      <w:pPr>
        <w:pStyle w:val="Heading2"/>
      </w:pPr>
      <w:r>
        <w:t>Our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Function</w:t>
            </w:r>
          </w:p>
        </w:tc>
        <w:tc>
          <w:tcPr>
            <w:tcW w:type="dxa" w:w="3361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Headcount (sample)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Programme staff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64</w:t>
            </w:r>
          </w:p>
        </w:tc>
      </w:tr>
      <w:tr>
        <w:tc>
          <w:tcPr>
            <w:tcW w:type="dxa" w:w="6050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Community teachers</w:t>
            </w:r>
          </w:p>
        </w:tc>
        <w:tc>
          <w:tcPr>
            <w:tcW w:type="dxa" w:w="336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210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Finance and administration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</w:t>
            </w:r>
          </w:p>
        </w:tc>
      </w:tr>
      <w:tr>
        <w:tc>
          <w:tcPr>
            <w:tcW w:type="dxa" w:w="6050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Monitoring and research</w:t>
            </w:r>
          </w:p>
        </w:tc>
        <w:tc>
          <w:tcPr>
            <w:tcW w:type="dxa" w:w="336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</w:tr>
    </w:tbl>
    <w:p>
      <w:pPr>
        <w:spacing w:after="80"/>
      </w:pPr>
    </w:p>
    <w:p>
      <w:pPr>
        <w:pStyle w:val="Heading1"/>
      </w:pPr>
      <w:r>
        <w:t>08  Financial Summary</w:t>
      </w:r>
    </w:p>
    <w:p>
      <w:pPr>
        <w:jc w:val="both"/>
      </w:pPr>
      <w:r>
        <w:t>The summary below is presented in a format that is easy to compare year on year. All amounts are sample figures for the template.</w:t>
      </w:r>
    </w:p>
    <w:p>
      <w:pPr>
        <w:pStyle w:val="Heading2"/>
      </w:pPr>
      <w:r>
        <w:t>Income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75"/>
        <w:gridCol w:w="2418"/>
        <w:gridCol w:w="2418"/>
      </w:tblGrid>
      <w:tr>
        <w:trPr>
          <w:tblHeader/>
        </w:trPr>
        <w:tc>
          <w:tcPr>
            <w:tcW w:type="dxa" w:w="4575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2418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2025–26 (₹ lakh)</w:t>
            </w:r>
          </w:p>
        </w:tc>
        <w:tc>
          <w:tcPr>
            <w:tcW w:type="dxa" w:w="2418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Previous year (₹ lakh)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Individual donations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CSR grants</w:t>
            </w:r>
          </w:p>
        </w:tc>
        <w:tc>
          <w:tcPr>
            <w:tcW w:type="dxa" w:w="241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Foundation grants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Interest and other income</w:t>
            </w:r>
          </w:p>
        </w:tc>
        <w:tc>
          <w:tcPr>
            <w:tcW w:type="dxa" w:w="241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Total income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2"/>
      </w:pPr>
      <w:r>
        <w:t>Expenditure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75"/>
        <w:gridCol w:w="2418"/>
        <w:gridCol w:w="2418"/>
      </w:tblGrid>
      <w:tr>
        <w:trPr>
          <w:tblHeader/>
        </w:trPr>
        <w:tc>
          <w:tcPr>
            <w:tcW w:type="dxa" w:w="4575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2418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2025–26 (₹ lakh)</w:t>
            </w:r>
          </w:p>
        </w:tc>
        <w:tc>
          <w:tcPr>
            <w:tcW w:type="dxa" w:w="2418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Previous year (₹ lakh)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Learning centres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Teacher development</w:t>
            </w:r>
          </w:p>
        </w:tc>
        <w:tc>
          <w:tcPr>
            <w:tcW w:type="dxa" w:w="241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Scholarships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Administration</w:t>
            </w:r>
          </w:p>
        </w:tc>
        <w:tc>
          <w:tcPr>
            <w:tcW w:type="dxa" w:w="241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5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Total expenditure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1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09  Thank You to Our Supporters</w:t>
      </w:r>
    </w:p>
    <w:p>
      <w:pPr>
        <w:jc w:val="both"/>
      </w:pPr>
      <w:r>
        <w:t>We are grateful to every donor, partner school, volunteer and family who walked with us this year.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6815"/>
      </w:tblGrid>
      <w:tr>
        <w:trPr>
          <w:tblHeader/>
        </w:trPr>
        <w:tc>
          <w:tcPr>
            <w:tcW w:type="dxa" w:w="2596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Category</w:t>
            </w:r>
          </w:p>
        </w:tc>
        <w:tc>
          <w:tcPr>
            <w:tcW w:type="dxa" w:w="6815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Partners (replace with your own)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CSR partners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Company A, Company B</w:t>
            </w:r>
          </w:p>
        </w:tc>
      </w:tr>
      <w:tr>
        <w:tc>
          <w:tcPr>
            <w:tcW w:type="dxa" w:w="259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Foundations</w:t>
            </w:r>
          </w:p>
        </w:tc>
        <w:tc>
          <w:tcPr>
            <w:tcW w:type="dxa" w:w="681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Foundation X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Government</w:t>
            </w:r>
          </w:p>
        </w:tc>
        <w:tc>
          <w:tcPr>
            <w:tcW w:type="dxa" w:w="681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District education offices</w:t>
            </w:r>
          </w:p>
        </w:tc>
      </w:tr>
      <w:tr>
        <w:tc>
          <w:tcPr>
            <w:tcW w:type="dxa" w:w="259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Volunteers</w:t>
            </w:r>
          </w:p>
        </w:tc>
        <w:tc>
          <w:tcPr>
            <w:tcW w:type="dxa" w:w="681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College NSS units</w:t>
            </w:r>
          </w:p>
        </w:tc>
      </w:tr>
    </w:tbl>
    <w:p>
      <w:pPr>
        <w:spacing w:after="80"/>
      </w:pPr>
    </w:p>
    <w:p>
      <w:pPr>
        <w:pStyle w:val="Heading1"/>
      </w:pPr>
      <w:r>
        <w:t>10  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12, Shanti Nagar, Jaipur 302018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+91 141 000 0000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hello@yourdomain.org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www.yourdomain.org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Asha Rural Education Foundation</w:t>
    </w:r>
    <w:r>
      <w:rPr>
        <w:color w:val="6B7079"/>
        <w:sz w:val="17"/>
      </w:rPr>
      <w:tab/>
      <w:t>Annual Report 2025–26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BE123C"/>
      </w:pBdr>
    </w:pPr>
    <w:rPr>
      <w:rFonts w:ascii="Poppins" w:hAnsi="Poppins" w:cs="Poppins" w:eastAsia="Poppins"/>
      <w:b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Open Sans" w:hAnsi="Open Sans" w:cs="Open Sans" w:eastAsia="Open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