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aps/>
          <w:color w:val="172033"/>
          <w:sz w:val="28"/>
          <w:spacing w:val="20"/>
        </w:rPr>
        <w:t>Your School / College Name</w:t>
      </w:r>
    </w:p>
    <w:p>
      <w:pPr>
        <w:jc w:val="center"/>
      </w:pPr>
      <w:r>
        <w:rPr>
          <w:b w:val="0"/>
          <w:i w:val="0"/>
          <w:color w:val="6F7581"/>
          <w:sz w:val="22"/>
        </w:rPr>
        <w:t>Accountancy</w:t>
      </w:r>
    </w:p>
    <w:tbl>
      <w:tblPr>
        <w:jc w:val="center"/>
        <w:tblLayout w:type="fixed"/>
        <w:tblLook w:firstColumn="1" w:firstRow="1" w:lastColumn="0" w:lastRow="0" w:noHBand="0" w:noVBand="1" w:val="04A0"/>
        <w:tblW w:w="1462" w:type="dxa"/>
        <w:tblLayout w:type="fixed"/>
        <w:tblCellMar>
          <w:top w:w="289" w:type="dxa"/>
          <w:left w:w="289" w:type="dxa"/>
          <w:bottom w:w="0" w:type="dxa"/>
          <w:right w:w="0" w:type="dxa"/>
        </w:tblCellMar>
        <w:tblBorders>
          <w:top w:val="thinThickThinMediumGap" w:sz="24" w:space="0" w:color="374151"/>
          <w:left w:val="thinThickThinMediumGap" w:sz="24" w:space="0" w:color="374151"/>
          <w:bottom w:val="thinThickThinMediumGap" w:sz="24" w:space="0" w:color="374151"/>
          <w:right w:val="thinThickThinMediumGap" w:sz="24" w:space="0" w:color="374151"/>
        </w:tblBorders>
      </w:tblPr>
      <w:tblGrid>
        <w:gridCol w:w="1462"/>
      </w:tblGrid>
      <w:tr>
        <w:trPr>
          <w:trHeight w:val="1463" w:hRule="exact"/>
        </w:trPr>
        <w:tc>
          <w:tcPr>
            <w:tcW w:type="dxa" w:w="1463"/>
            <w:shd w:val="clear" w:color="auto" w:fill="EBECEE"/>
          </w:tcPr>
          <w:tbl>
            <w:tblPr>
              <w:jc w:val="left"/>
              <w:tblLayout w:type="fixed"/>
              <w:tblLook w:firstColumn="1" w:firstRow="1" w:lastColumn="0" w:lastRow="0" w:noHBand="0" w:noVBand="1" w:val="04A0"/>
              <w:tblW w:w="884" w:type="dxa"/>
              <w:tblLayout w:type="fixed"/>
              <w:tblCellMar>
                <w:top w:w="255" w:type="dxa"/>
                <w:left w:w="255" w:type="dxa"/>
                <w:bottom w:w="0" w:type="dxa"/>
                <w:right w:w="0" w:type="dxa"/>
              </w:tblCellMar>
              <w:tblBorders>
                <w:top w:val="single" w:sz="8" w:space="0" w:color="374151"/>
                <w:left w:val="single" w:sz="8" w:space="0" w:color="374151"/>
                <w:bottom w:val="single" w:sz="8" w:space="0" w:color="374151"/>
                <w:right w:val="single" w:sz="8" w:space="0" w:color="374151"/>
              </w:tblBorders>
            </w:tblPr>
            <w:tblGrid>
              <w:gridCol w:w="884"/>
            </w:tblGrid>
            <w:tr>
              <w:trPr>
                <w:trHeight w:val="884" w:hRule="exact"/>
              </w:trPr>
              <w:tc>
                <w:tcPr>
                  <w:tcW w:type="dxa" w:w="884"/>
                  <w:shd w:val="clear" w:color="auto" w:fill="D3D5D9"/>
                </w:tcPr>
                <w:tbl>
                  <w:tblPr>
                    <w:jc w:val="left"/>
                    <w:tblLayout w:type="fixed"/>
                    <w:tblLook w:firstColumn="1" w:firstRow="1" w:lastColumn="0" w:lastRow="0" w:noHBand="0" w:noVBand="1" w:val="04A0"/>
                    <w:tblW w:w="374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Borders>
                      <w:top w:val="nil"/>
                      <w:left w:val="nil"/>
                      <w:bottom w:val="nil"/>
                      <w:right w:val="nil"/>
                    </w:tblBorders>
                  </w:tblPr>
                  <w:tblGrid>
                    <w:gridCol w:w="374"/>
                  </w:tblGrid>
                  <w:tr>
                    <w:trPr>
                      <w:trHeight w:val="374" w:hRule="exact"/>
                    </w:trPr>
                    <w:tc>
                      <w:tcPr>
                        <w:tcW w:type="dxa" w:w="374"/>
                        <w:shd w:val="clear" w:color="auto" w:fill="374151"/>
                      </w:tcPr>
                      <w:p>
                        <w:pPr>
                          <w:spacing w:after="0" w:before="0" w:line="20" w:lineRule="exact"/>
                        </w:pPr>
                      </w:p>
                    </w:tc>
                  </w:tr>
                </w:tbl>
                <w:p/>
                <w:p>
                  <w:pPr>
                    <w:spacing w:after="0" w:line="20" w:lineRule="exact"/>
                  </w:pPr>
                </w:p>
              </w:tc>
            </w:tr>
          </w:tbl>
          <w:p/>
          <w:p>
            <w:pPr>
              <w:spacing w:after="0" w:line="20" w:lineRule="exact"/>
            </w:pPr>
          </w:p>
        </w:tc>
      </w:tr>
    </w:tbl>
    <w:p>
      <w:pPr>
        <w:spacing w:after="120"/>
      </w:pPr>
    </w:p>
    <w:p>
      <w:pPr>
        <w:jc w:val="center"/>
      </w:pPr>
      <w:r>
        <w:rPr>
          <w:b w:val="0"/>
          <w:i/>
          <w:color w:val="6F7581"/>
          <w:sz w:val="24"/>
        </w:rPr>
        <w:t>Assignment on</w:t>
      </w:r>
    </w:p>
    <w:p>
      <w:pPr>
        <w:pStyle w:val="Title"/>
        <w:jc w:val="center"/>
      </w:pPr>
      <w:r>
        <w:rPr>
          <w:color w:val="374151"/>
        </w:rPr>
        <w:t>Ratio Analysis</w:t>
      </w:r>
    </w:p>
    <w:p>
      <w:pPr>
        <w:jc w:val="center"/>
      </w:pPr>
      <w:r>
        <w:rPr>
          <w:b w:val="0"/>
          <w:i w:val="0"/>
          <w:color w:val="172033"/>
          <w:sz w:val="24"/>
        </w:rPr>
        <w:t>Using accounting ratios to judge performance</w:t>
      </w:r>
    </w:p>
    <w:p>
      <w:pPr>
        <w:spacing w:after="360"/>
        <w:jc w:val="center"/>
      </w:pPr>
      <w:r>
        <w:rPr>
          <w:b w:val="0"/>
          <w:i w:val="0"/>
          <w:color w:val="6F7581"/>
          <w:sz w:val="21"/>
        </w:rPr>
        <w:t>Submitted in partial fulfilment of the requirements for the degree of Bachelor of Technology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center"/>
            </w:pPr>
            <w:r>
              <w:rPr>
                <w:b/>
                <w:color w:val="6F7581"/>
                <w:sz w:val="16"/>
              </w:rPr>
              <w:t>SUBMITTED BY</w:t>
            </w:r>
          </w:p>
        </w:tc>
        <w:tc>
          <w:tcPr>
            <w:tcW w:type="dxa" w:w="3009"/>
          </w:tcPr>
          <w:p>
            <w:pPr>
              <w:spacing w:after="0"/>
              <w:jc w:val="center"/>
            </w:pPr>
            <w:r>
              <w:rPr>
                <w:b/>
                <w:color w:val="6F7581"/>
                <w:sz w:val="16"/>
              </w:rPr>
              <w:t>SUBJECT</w:t>
            </w:r>
          </w:p>
        </w:tc>
        <w:tc>
          <w:tcPr>
            <w:tcW w:type="dxa" w:w="3009"/>
          </w:tcPr>
          <w:p>
            <w:pPr>
              <w:spacing w:after="0"/>
              <w:jc w:val="center"/>
            </w:pPr>
            <w:r>
              <w:rPr>
                <w:b/>
                <w:color w:val="6F7581"/>
                <w:sz w:val="16"/>
              </w:rPr>
              <w:t>SUBMITTED TO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center"/>
            </w:pPr>
            <w:r>
              <w:rPr>
                <w:color w:val="172033"/>
                <w:sz w:val="21"/>
              </w:rPr>
              <w:t>Riya Singh · Roll No. 23</w:t>
            </w:r>
          </w:p>
        </w:tc>
        <w:tc>
          <w:tcPr>
            <w:tcW w:type="dxa" w:w="3009"/>
          </w:tcPr>
          <w:p>
            <w:pPr>
              <w:spacing w:after="0"/>
              <w:jc w:val="center"/>
            </w:pPr>
            <w:r>
              <w:rPr>
                <w:color w:val="172033"/>
                <w:sz w:val="21"/>
              </w:rPr>
              <w:t>Accountancy</w:t>
            </w:r>
          </w:p>
        </w:tc>
        <w:tc>
          <w:tcPr>
            <w:tcW w:type="dxa" w:w="3009"/>
          </w:tcPr>
          <w:p>
            <w:pPr>
              <w:spacing w:after="0"/>
              <w:jc w:val="center"/>
            </w:pPr>
            <w:r>
              <w:rPr>
                <w:color w:val="172033"/>
                <w:sz w:val="21"/>
              </w:rPr>
              <w:t>Mrs. A. Kapoor</w:t>
            </w:r>
          </w:p>
        </w:tc>
      </w:tr>
    </w:tbl>
    <w:p>
      <w:pPr>
        <w:spacing w:before="320"/>
        <w:jc w:val="center"/>
      </w:pPr>
      <w:r>
        <w:rPr>
          <w:b/>
          <w:i w:val="0"/>
          <w:color w:val="172033"/>
          <w:sz w:val="22"/>
        </w:rPr>
        <w:t>Submission date: 15 March 2026</w:t>
      </w:r>
    </w:p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Introduction</w:t>
      </w:r>
      <w:r>
        <w:tab/>
        <w:t>2</w:t>
      </w:r>
    </w:p>
    <w:p>
      <w:pPr>
        <w:pStyle w:val="TOC1"/>
      </w:pPr>
      <w:r>
        <w:t>Types of Ratios</w:t>
      </w:r>
      <w:r>
        <w:tab/>
        <w:t>2</w:t>
      </w:r>
    </w:p>
    <w:p>
      <w:pPr>
        <w:pStyle w:val="TOC1"/>
      </w:pPr>
      <w:r>
        <w:t>Key Formulas</w:t>
      </w:r>
      <w:r>
        <w:tab/>
        <w:t>3</w:t>
      </w:r>
    </w:p>
    <w:p>
      <w:pPr>
        <w:pStyle w:val="TOC1"/>
      </w:pPr>
      <w:r>
        <w:t>Limitations</w:t>
      </w:r>
      <w:r>
        <w:tab/>
        <w:t>3</w:t>
      </w:r>
    </w:p>
    <w:p>
      <w:pPr>
        <w:pStyle w:val="TOC1"/>
      </w:pPr>
      <w:r>
        <w:t>Conclusion</w:t>
      </w:r>
      <w:r>
        <w:tab/>
        <w:t>3</w:t>
      </w:r>
    </w:p>
    <w:p>
      <w:pPr>
        <w:pStyle w:val="TOC1"/>
      </w:pPr>
      <w:r>
        <w:t>Bibliography</w:t>
      </w:r>
      <w:r>
        <w:tab/>
        <w:t>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Introduction</w:t>
      </w:r>
    </w:p>
    <w:p>
      <w:pPr>
        <w:jc w:val="both"/>
      </w:pPr>
      <w:r>
        <w:t>Ratio analysis studies the relationship between items in financial statements. It helps owners, lenders and investors judge a firm’s liquidity, profitability and efficiency.</w:t>
      </w:r>
    </w:p>
    <w:p>
      <w:pPr>
        <w:pStyle w:val="Heading1"/>
      </w:pPr>
      <w:r>
        <w:t>Types of Ratios</w:t>
      </w:r>
    </w:p>
    <w:p>
      <w:pPr>
        <w:jc w:val="both"/>
      </w:pPr>
      <w:r>
        <w:t>Ratios are grouped by what they measure.</w:t>
      </w:r>
    </w:p>
    <w:p>
      <w:pPr>
        <w:pStyle w:val="ListBullet"/>
      </w:pPr>
      <w:r>
        <w:t>Liquidity ratios — current ratio, quick ratio</w:t>
      </w:r>
    </w:p>
    <w:p>
      <w:pPr>
        <w:pStyle w:val="ListBullet"/>
      </w:pPr>
      <w:r>
        <w:t>Solvency ratios — debt–equity ratio</w:t>
      </w:r>
    </w:p>
    <w:p>
      <w:pPr>
        <w:pStyle w:val="ListBullet"/>
      </w:pPr>
      <w:r>
        <w:t>Activity ratios — inventory turnover</w:t>
      </w:r>
    </w:p>
    <w:p>
      <w:pPr>
        <w:pStyle w:val="ListBullet"/>
      </w:pPr>
      <w:r>
        <w:t>Profitability ratios — net profit ratio, return on investment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374151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Ratio</w:t>
            </w:r>
          </w:p>
        </w:tc>
        <w:tc>
          <w:tcPr>
            <w:tcW w:type="dxa" w:w="3009"/>
            <w:vAlign w:val="center"/>
            <w:shd w:val="clear" w:color="auto" w:fill="374151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Formula</w:t>
            </w:r>
          </w:p>
        </w:tc>
        <w:tc>
          <w:tcPr>
            <w:tcW w:type="dxa" w:w="3009"/>
            <w:vAlign w:val="center"/>
            <w:shd w:val="clear" w:color="auto" w:fill="374151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Ideal (rule of thumb)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Current ratio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CA ÷ CL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 : 1</w:t>
            </w:r>
          </w:p>
        </w:tc>
      </w:tr>
      <w:tr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Quick ratio</w:t>
            </w:r>
          </w:p>
        </w:tc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Quick assets ÷ CL</w:t>
            </w:r>
          </w:p>
        </w:tc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1 : 1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Debt–equity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Debt ÷ Equity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 : 1 or less</w:t>
            </w:r>
          </w:p>
        </w:tc>
      </w:tr>
      <w:tr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Net profit ratio</w:t>
            </w:r>
          </w:p>
        </w:tc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NP ÷ Revenue × 100</w:t>
            </w:r>
          </w:p>
        </w:tc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Higher is better</w:t>
            </w:r>
          </w:p>
        </w:tc>
      </w:tr>
    </w:tbl>
    <w:p>
      <w:pPr>
        <w:spacing w:after="80"/>
      </w:pPr>
    </w:p>
    <w:p>
      <w:pPr>
        <w:pStyle w:val="Heading1"/>
      </w:pPr>
      <w:r>
        <w:t>Key Formulas</w:t>
      </w:r>
    </w:p>
    <w:p>
      <w:pPr>
        <w:jc w:val="both"/>
      </w:pPr>
      <w:r>
        <w:t>Current ratio = Current assets ÷ Current liabilities. Quick ratio = Quick assets ÷ Current liabilities. Net profit ratio = Net profit ÷ Revenue from operations × 100.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BECEE"/>
            <w:tcBorders>
              <w:left w:val="single" w:sz="36" w:space="0" w:color="374151"/>
            </w:tcBorders>
          </w:tcPr>
          <w:p>
            <w:pPr>
              <w:spacing w:after="60"/>
            </w:pPr>
            <w:r>
              <w:rPr>
                <w:b/>
                <w:color w:val="374151"/>
              </w:rPr>
              <w:t>Remember</w:t>
            </w:r>
          </w:p>
          <w:p>
            <w:pPr>
              <w:spacing w:after="0"/>
            </w:pPr>
            <w:r>
              <w:t>A ratio means little alone; compare it with past years or similar firms.</w:t>
            </w:r>
          </w:p>
        </w:tc>
      </w:tr>
    </w:tbl>
    <w:p>
      <w:pPr>
        <w:spacing w:after="40"/>
      </w:pPr>
    </w:p>
    <w:p>
      <w:pPr>
        <w:pStyle w:val="Heading1"/>
      </w:pPr>
      <w:r>
        <w:t>Limitations</w:t>
      </w:r>
    </w:p>
    <w:p>
      <w:pPr>
        <w:jc w:val="both"/>
      </w:pPr>
      <w:r>
        <w:t>Ratios are based on historical data, ignore qualitative factors and can be affected by different accounting policies.</w:t>
      </w:r>
    </w:p>
    <w:p>
      <w:pPr>
        <w:pStyle w:val="ListBullet"/>
      </w:pPr>
      <w:r>
        <w:t>Based on past data</w:t>
      </w:r>
    </w:p>
    <w:p>
      <w:pPr>
        <w:pStyle w:val="ListBullet"/>
      </w:pPr>
      <w:r>
        <w:t>Ignores qualitative factors</w:t>
      </w:r>
    </w:p>
    <w:p>
      <w:pPr>
        <w:pStyle w:val="ListBullet"/>
      </w:pPr>
      <w:r>
        <w:t>Window dressing can distort results</w:t>
      </w:r>
    </w:p>
    <w:p>
      <w:pPr>
        <w:pStyle w:val="Heading1"/>
      </w:pPr>
      <w:r>
        <w:t>Conclusion</w:t>
      </w:r>
    </w:p>
    <w:p>
      <w:pPr>
        <w:jc w:val="both"/>
      </w:pPr>
      <w:r>
        <w:t>Used carefully and in comparison, ratios are a quick and powerful way to understand a business’s financial health.</w:t>
      </w:r>
    </w:p>
    <w:p>
      <w:pPr>
        <w:pStyle w:val="Heading1"/>
      </w:pPr>
      <w:r>
        <w:t>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Ratio Analysis</w:t>
    </w:r>
    <w:r>
      <w:rPr>
        <w:color w:val="6F7581"/>
        <w:sz w:val="17"/>
      </w:rPr>
      <w:tab/>
      <w:t>Accountancy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72033"/>
      </w:pBdr>
    </w:pPr>
    <w:rPr>
      <w:rFonts w:ascii="PT Serif" w:hAnsi="PT Serif" w:cs="PT Serif" w:eastAsia="PT Serif"/>
      <w:b/>
      <w:bCs/>
      <w:i w:val="0"/>
      <w:caps/>
      <w:color w:val="172033"/>
      <w:sz w:val="48"/>
      <w:szCs w:val="48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T Serif" w:hAnsi="PT Serif" w:cs="PT Serif" w:eastAsia="PT Serif"/>
      <w:b/>
      <w:bCs/>
      <w:i w:val="0"/>
      <w:color w:val="374151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T Serif" w:hAnsi="PT Serif" w:cs="PT Serif" w:eastAsia="PT Serif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T Serif" w:hAnsi="PT Serif" w:cs="PT Serif" w:eastAsia="PT Serif"/>
      <w:b/>
      <w:color w:val="172033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T Serif" w:hAnsi="PT Serif" w:cs="PT Serif" w:eastAsia="PT Serif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Source Sans 3" w:hAnsi="Source Sans 3" w:cs="Source Sans 3" w:eastAsia="Source Sans 3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