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500" w:type="dxa"/>
          <w:left w:w="600" w:type="dxa"/>
          <w:bottom w:w="600" w:type="dxa"/>
          <w:right w:w="600" w:type="dxa"/>
        </w:tblCellMar>
      </w:tblPr>
      <w:tblGrid>
        <w:gridCol w:w="9026"/>
      </w:tblGrid>
      <w:tr>
        <w:trPr>
          <w:trHeight w:val="8504" w:hRule="exact"/>
        </w:trPr>
        <w:tc>
          <w:tcPr>
            <w:tcW w:type="dxa" w:w="9026"/>
            <w:shd w:val="clear" w:color="auto" w:fill="A16207"/>
            <w:vAlign w:val="bottom"/>
          </w:tcPr>
          <w:p>
            <w:pPr>
              <w:spacing w:after="280"/>
            </w:pPr>
            <w:r>
              <w:rPr>
                <w:b/>
                <w:i w:val="0"/>
                <w:caps/>
                <w:color w:val="FFFFFF"/>
                <w:sz w:val="20"/>
                <w:spacing w:val="40"/>
              </w:rPr>
              <w:t>Business Plan 2026–2029</w:t>
            </w:r>
          </w:p>
          <w:p>
            <w:pPr>
              <w:pStyle w:val="Title"/>
            </w:pPr>
            <w:r>
              <w:rPr>
                <w:color w:val="FFFFFF"/>
              </w:rPr>
              <w:t>GreenCart Organics — Business Plan</w:t>
            </w:r>
          </w:p>
          <w:p>
            <w:pPr>
              <w:spacing w:after="0"/>
            </w:pPr>
            <w:r>
              <w:rPr>
                <w:b w:val="0"/>
                <w:i w:val="0"/>
                <w:color w:val="FFFFFF"/>
                <w:sz w:val="26"/>
              </w:rPr>
              <w:t>Organic groceries delivered from local farms</w:t>
            </w:r>
          </w:p>
        </w:tc>
      </w:tr>
    </w:tbl>
    <w:p>
      <w:pPr>
        <w:spacing w:after="600"/>
      </w:pP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Borders>
          <w:top w:val="single" w:sz="6" w:space="0" w:color="CDCCCC"/>
        </w:tblBorders>
        <w:tblCellMar>
          <w:top w:w="120" w:type="dxa"/>
          <w:left w:w="0" w:type="dxa"/>
          <w:bottom w:w="40" w:type="dxa"/>
          <w:right w:w="120" w:type="dxa"/>
        </w:tblCellMar>
      </w:tblPr>
      <w:tblGrid>
        <w:gridCol w:w="3008"/>
        <w:gridCol w:w="3008"/>
        <w:gridCol w:w="3008"/>
      </w:tblGrid>
      <w:tr>
        <w:tc>
          <w:tcPr>
            <w:tcW w:type="dxa" w:w="3009"/>
          </w:tcPr>
          <w:p>
            <w:pPr>
              <w:spacing w:after="0"/>
              <w:jc w:val="left"/>
            </w:pPr>
            <w:r>
              <w:rPr>
                <w:b/>
                <w:color w:val="72706F"/>
                <w:sz w:val="16"/>
              </w:rPr>
              <w:t>PREPARED BY</w:t>
            </w:r>
          </w:p>
        </w:tc>
        <w:tc>
          <w:tcPr>
            <w:tcW w:type="dxa" w:w="3009"/>
          </w:tcPr>
          <w:p>
            <w:pPr>
              <w:spacing w:after="0"/>
              <w:jc w:val="left"/>
            </w:pPr>
            <w:r>
              <w:rPr>
                <w:b/>
                <w:color w:val="72706F"/>
                <w:sz w:val="16"/>
              </w:rPr>
              <w:t>VERSION</w:t>
            </w:r>
          </w:p>
        </w:tc>
        <w:tc>
          <w:tcPr>
            <w:tcW w:type="dxa" w:w="3009"/>
          </w:tcPr>
          <w:p>
            <w:pPr>
              <w:spacing w:after="0"/>
              <w:jc w:val="left"/>
            </w:pPr>
            <w:r>
              <w:rPr>
                <w:b/>
                <w:color w:val="72706F"/>
                <w:sz w:val="16"/>
              </w:rPr>
              <w:t>DATE</w:t>
            </w:r>
          </w:p>
        </w:tc>
      </w:tr>
      <w:tr>
        <w:tc>
          <w:tcPr>
            <w:tcW w:type="dxa" w:w="3009"/>
          </w:tcPr>
          <w:p>
            <w:pPr>
              <w:spacing w:after="0"/>
              <w:jc w:val="left"/>
            </w:pPr>
            <w:r>
              <w:rPr>
                <w:color w:val="1C1917"/>
                <w:sz w:val="21"/>
              </w:rPr>
              <w:t>Founding Team</w:t>
            </w:r>
          </w:p>
        </w:tc>
        <w:tc>
          <w:tcPr>
            <w:tcW w:type="dxa" w:w="3009"/>
          </w:tcPr>
          <w:p>
            <w:pPr>
              <w:spacing w:after="0"/>
              <w:jc w:val="left"/>
            </w:pPr>
            <w:r>
              <w:rPr>
                <w:color w:val="1C1917"/>
                <w:sz w:val="21"/>
              </w:rPr>
              <w:t>1.0 · Confidential</w:t>
            </w:r>
          </w:p>
        </w:tc>
        <w:tc>
          <w:tcPr>
            <w:tcW w:type="dxa" w:w="3009"/>
          </w:tcPr>
          <w:p>
            <w:pPr>
              <w:spacing w:after="0"/>
              <w:jc w:val="left"/>
            </w:pPr>
            <w:r>
              <w:rPr>
                <w:color w:val="1C1917"/>
                <w:sz w:val="21"/>
              </w:rPr>
              <w:t>April 2026</w:t>
            </w:r>
          </w:p>
        </w:tc>
      </w:tr>
    </w:tbl>
    <w:p>
      <w:pPr>
        <w:spacing w:after="0" w:before="0" w:line="20" w:lineRule="exact"/>
      </w:pPr>
      <w:r>
        <w:rPr>
          <w:sz w:val="2"/>
        </w:rPr>
        <w:br w:type="page"/>
      </w:r>
    </w:p>
    <w:p>
      <w:pPr>
        <w:pStyle w:val="Heading1"/>
      </w:pPr>
      <w:r>
        <w:t>Contents</w:t>
      </w:r>
    </w:p>
    <w:p>
      <w:pPr>
        <w:spacing w:after="0"/>
      </w:pPr>
      <w:r>
        <w:fldChar w:fldCharType="begin" w:dirty="false"/>
      </w:r>
      <w:r>
        <w:instrText xml:space="preserve"> TOC \o "1-2" \h \z \u </w:instrText>
      </w:r>
      <w:r>
        <w:fldChar w:fldCharType="separate"/>
      </w:r>
    </w:p>
    <w:p>
      <w:pPr>
        <w:pStyle w:val="TOC1"/>
      </w:pPr>
      <w:r>
        <w:t>Executive Summary</w:t>
      </w:r>
      <w:r>
        <w:tab/>
        <w:t>2</w:t>
      </w:r>
    </w:p>
    <w:p>
      <w:pPr>
        <w:pStyle w:val="TOC1"/>
      </w:pPr>
      <w:r>
        <w:t>Company Overview</w:t>
      </w:r>
      <w:r>
        <w:tab/>
        <w:t>3</w:t>
      </w:r>
    </w:p>
    <w:p>
      <w:pPr>
        <w:pStyle w:val="TOC2"/>
      </w:pPr>
      <w:r>
        <w:t>Mission</w:t>
      </w:r>
      <w:r>
        <w:tab/>
        <w:t>3</w:t>
      </w:r>
    </w:p>
    <w:p>
      <w:pPr>
        <w:pStyle w:val="TOC2"/>
      </w:pPr>
      <w:r>
        <w:t>Products and Services</w:t>
      </w:r>
      <w:r>
        <w:tab/>
        <w:t>3</w:t>
      </w:r>
    </w:p>
    <w:p>
      <w:pPr>
        <w:pStyle w:val="TOC2"/>
      </w:pPr>
      <w:r>
        <w:t>Legal Structure and Location</w:t>
      </w:r>
      <w:r>
        <w:tab/>
        <w:t>3</w:t>
      </w:r>
    </w:p>
    <w:p>
      <w:pPr>
        <w:pStyle w:val="TOC1"/>
      </w:pPr>
      <w:r>
        <w:t>Market Analysis</w:t>
      </w:r>
      <w:r>
        <w:tab/>
        <w:t>4</w:t>
      </w:r>
    </w:p>
    <w:p>
      <w:pPr>
        <w:pStyle w:val="TOC2"/>
      </w:pPr>
      <w:r>
        <w:t>Industry Overview</w:t>
      </w:r>
      <w:r>
        <w:tab/>
        <w:t>4</w:t>
      </w:r>
    </w:p>
    <w:p>
      <w:pPr>
        <w:pStyle w:val="TOC2"/>
      </w:pPr>
      <w:r>
        <w:t>Target Customers</w:t>
      </w:r>
      <w:r>
        <w:tab/>
        <w:t>4</w:t>
      </w:r>
    </w:p>
    <w:p>
      <w:pPr>
        <w:pStyle w:val="TOC2"/>
      </w:pPr>
      <w:r>
        <w:t>Competition</w:t>
      </w:r>
      <w:r>
        <w:tab/>
        <w:t>4</w:t>
      </w:r>
    </w:p>
    <w:p>
      <w:pPr>
        <w:pStyle w:val="TOC2"/>
      </w:pPr>
      <w:r>
        <w:t>SWOT Analysis</w:t>
      </w:r>
      <w:r>
        <w:tab/>
        <w:t>4</w:t>
      </w:r>
    </w:p>
    <w:p>
      <w:pPr>
        <w:pStyle w:val="TOC1"/>
      </w:pPr>
      <w:r>
        <w:t>Marketing and Sales Strategy</w:t>
      </w:r>
      <w:r>
        <w:tab/>
        <w:t>5</w:t>
      </w:r>
    </w:p>
    <w:p>
      <w:pPr>
        <w:pStyle w:val="TOC1"/>
      </w:pPr>
      <w:r>
        <w:t>Operations Plan</w:t>
      </w:r>
      <w:r>
        <w:tab/>
        <w:t>5</w:t>
      </w:r>
    </w:p>
    <w:p>
      <w:pPr>
        <w:pStyle w:val="TOC1"/>
      </w:pPr>
      <w:r>
        <w:t>Management Team</w:t>
      </w:r>
      <w:r>
        <w:tab/>
        <w:t>5</w:t>
      </w:r>
    </w:p>
    <w:p>
      <w:pPr>
        <w:pStyle w:val="TOC1"/>
      </w:pPr>
      <w:r>
        <w:t>Financial Plan</w:t>
      </w:r>
      <w:r>
        <w:tab/>
        <w:t>5</w:t>
      </w:r>
    </w:p>
    <w:p>
      <w:pPr>
        <w:pStyle w:val="TOC2"/>
      </w:pPr>
      <w:r>
        <w:t>Funding Requirement</w:t>
      </w:r>
      <w:r>
        <w:tab/>
        <w:t>6</w:t>
      </w:r>
    </w:p>
    <w:p>
      <w:pPr>
        <w:pStyle w:val="TOC1"/>
      </w:pPr>
      <w:r>
        <w:t>Risks and Mitigation</w:t>
      </w:r>
      <w:r>
        <w:tab/>
        <w:t>6</w:t>
      </w:r>
    </w:p>
    <w:p>
      <w:pPr>
        <w:pStyle w:val="TOC1"/>
      </w:pPr>
      <w:r>
        <w:t>Appendix</w:t>
      </w:r>
      <w:r>
        <w:tab/>
        <w:t>6</w:t>
      </w:r>
    </w:p>
    <w:p>
      <w:pPr>
        <w:pStyle w:val="TOC2"/>
      </w:pPr>
      <w:r>
        <w:t>Appendix A: Supporting Detail</w:t>
      </w:r>
      <w:r>
        <w:tab/>
        <w:t>6</w:t>
      </w:r>
    </w:p>
    <w:p>
      <w:pPr>
        <w:pStyle w:val="TOC2"/>
      </w:pPr>
      <w:r>
        <w:t>Appendix B: Supporting Detail</w:t>
      </w:r>
      <w:r>
        <w:tab/>
        <w:t>7</w:t>
      </w:r>
    </w:p>
    <w:p>
      <w:pPr>
        <w:spacing w:after="0"/>
      </w:pPr>
      <w:r>
        <w:fldChar w:fldCharType="end"/>
      </w:r>
    </w:p>
    <w:p>
      <w:pPr>
        <w:pStyle w:val="Heading1"/>
      </w:pPr>
      <w:r>
        <w:t>Executive Summary</w:t>
      </w:r>
    </w:p>
    <w:p>
      <w:pPr>
        <w:jc w:val="both"/>
      </w:pPr>
      <w:r>
        <w:t>GreenCart Organics is an online grocery service that sources certified organic produce directly from farmer groups within 150 km of the city and delivers it within 24 hours of harvest. By cutting out intermediaries, we offer fresher food at fair prices while paying farmers more.</w:t>
      </w:r>
    </w:p>
    <w:tbl>
      <w:tblPr>
        <w:tblLayout w:type="fixed"/>
        <w:tblLook w:firstColumn="1" w:firstRow="1" w:lastColumn="0" w:lastRow="0" w:noHBand="0" w:noVBand="1" w:val="04A0"/>
        <w:tblW w:w="9026" w:type="dxa"/>
        <w:tblLayout w:type="fixed"/>
        <w:tblBorders>
          <w:top w:val="nil"/>
          <w:left w:val="nil"/>
          <w:bottom w:val="nil"/>
          <w:right w:val="nil"/>
          <w:insideH w:val="nil"/>
          <w:insideV w:val="nil"/>
        </w:tblBorders>
        <w:tblCellMar>
          <w:top w:w="160" w:type="dxa"/>
          <w:left w:w="240" w:type="dxa"/>
          <w:bottom w:w="160" w:type="dxa"/>
          <w:right w:w="240" w:type="dxa"/>
        </w:tblCellMar>
      </w:tblPr>
      <w:tblGrid>
        <w:gridCol w:w="9026"/>
      </w:tblGrid>
      <w:tr>
        <w:tc>
          <w:tcPr>
            <w:tcW w:type="dxa" w:w="9026"/>
            <w:shd w:val="clear" w:color="auto" w:fill="F6EFE6"/>
            <w:tcBorders>
              <w:left w:val="single" w:sz="36" w:space="0" w:color="A16207"/>
            </w:tcBorders>
          </w:tcPr>
          <w:p>
            <w:pPr>
              <w:spacing w:after="60"/>
            </w:pPr>
            <w:r>
              <w:rPr>
                <w:b/>
                <w:color w:val="A16207"/>
              </w:rPr>
              <w:t>The opportunity</w:t>
            </w:r>
          </w:p>
          <w:p>
            <w:pPr>
              <w:spacing w:after="0"/>
            </w:pPr>
            <w:r>
              <w:t>Urban families increasingly want healthy, traceable food but find organic options expensive and hard to trust. A short, transparent supply chain solves both problems.</w:t>
            </w:r>
          </w:p>
        </w:tc>
      </w:tr>
    </w:tbl>
    <w:p>
      <w:pPr>
        <w:spacing w:after="40"/>
      </w:pP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3868"/>
        <w:gridCol w:w="2579"/>
        <w:gridCol w:w="2579"/>
      </w:tblGrid>
      <w:tr>
        <w:trPr>
          <w:tblHeader/>
        </w:trPr>
        <w:tc>
          <w:tcPr>
            <w:tcW w:type="dxa" w:w="3868"/>
            <w:vAlign w:val="center"/>
            <w:shd w:val="clear" w:color="auto" w:fill="1C1917"/>
          </w:tcPr>
          <w:p>
            <w:pPr>
              <w:spacing w:after="0"/>
            </w:pPr>
            <w:r/>
            <w:r>
              <w:rPr>
                <w:b/>
                <w:color w:val="FFFFFF"/>
                <w:sz w:val="19"/>
              </w:rPr>
              <w:t>Key figure</w:t>
            </w:r>
          </w:p>
        </w:tc>
        <w:tc>
          <w:tcPr>
            <w:tcW w:type="dxa" w:w="2579"/>
            <w:vAlign w:val="center"/>
            <w:shd w:val="clear" w:color="auto" w:fill="1C1917"/>
          </w:tcPr>
          <w:p>
            <w:pPr>
              <w:spacing w:after="0"/>
            </w:pPr>
            <w:r/>
            <w:r>
              <w:rPr>
                <w:b/>
                <w:color w:val="FFFFFF"/>
                <w:sz w:val="19"/>
              </w:rPr>
              <w:t>Year 1</w:t>
            </w:r>
          </w:p>
        </w:tc>
        <w:tc>
          <w:tcPr>
            <w:tcW w:type="dxa" w:w="2579"/>
            <w:vAlign w:val="center"/>
            <w:shd w:val="clear" w:color="auto" w:fill="1C1917"/>
          </w:tcPr>
          <w:p>
            <w:pPr>
              <w:spacing w:after="0"/>
            </w:pPr>
            <w:r/>
            <w:r>
              <w:rPr>
                <w:b/>
                <w:color w:val="FFFFFF"/>
                <w:sz w:val="19"/>
              </w:rPr>
              <w:t>Year 3</w:t>
            </w:r>
          </w:p>
        </w:tc>
      </w:tr>
      <w:tr>
        <w:tc>
          <w:tcPr>
            <w:tcW w:type="dxa" w:w="3868"/>
            <w:vAlign w:val="center"/>
          </w:tcPr>
          <w:p>
            <w:pPr>
              <w:spacing w:after="0"/>
            </w:pPr>
            <w:r/>
            <w:r>
              <w:rPr>
                <w:sz w:val="19"/>
              </w:rPr>
              <w:t>Customers</w:t>
            </w:r>
          </w:p>
        </w:tc>
        <w:tc>
          <w:tcPr>
            <w:tcW w:type="dxa" w:w="2579"/>
            <w:vAlign w:val="center"/>
          </w:tcPr>
          <w:p>
            <w:pPr>
              <w:spacing w:after="0"/>
            </w:pPr>
            <w:r/>
            <w:r>
              <w:rPr>
                <w:sz w:val="19"/>
              </w:rPr>
              <w:t>2,000</w:t>
            </w:r>
          </w:p>
        </w:tc>
        <w:tc>
          <w:tcPr>
            <w:tcW w:type="dxa" w:w="2579"/>
            <w:vAlign w:val="center"/>
          </w:tcPr>
          <w:p>
            <w:pPr>
              <w:spacing w:after="0"/>
            </w:pPr>
            <w:r/>
            <w:r>
              <w:rPr>
                <w:sz w:val="19"/>
              </w:rPr>
              <w:t>18,000</w:t>
            </w:r>
          </w:p>
        </w:tc>
      </w:tr>
      <w:tr>
        <w:tc>
          <w:tcPr>
            <w:tcW w:type="dxa" w:w="3868"/>
            <w:vAlign w:val="center"/>
            <w:shd w:val="clear" w:color="auto" w:fill="F6EFE6"/>
          </w:tcPr>
          <w:p>
            <w:pPr>
              <w:spacing w:after="0"/>
            </w:pPr>
            <w:r/>
            <w:r>
              <w:rPr>
                <w:sz w:val="19"/>
              </w:rPr>
              <w:t>Revenue</w:t>
            </w:r>
          </w:p>
        </w:tc>
        <w:tc>
          <w:tcPr>
            <w:tcW w:type="dxa" w:w="2579"/>
            <w:vAlign w:val="center"/>
            <w:shd w:val="clear" w:color="auto" w:fill="F6EFE6"/>
          </w:tcPr>
          <w:p>
            <w:pPr>
              <w:spacing w:after="0"/>
            </w:pPr>
            <w:r/>
            <w:r>
              <w:rPr>
                <w:sz w:val="19"/>
              </w:rPr>
              <w:t>₹1.2 Cr</w:t>
            </w:r>
          </w:p>
        </w:tc>
        <w:tc>
          <w:tcPr>
            <w:tcW w:type="dxa" w:w="2579"/>
            <w:vAlign w:val="center"/>
            <w:shd w:val="clear" w:color="auto" w:fill="F6EFE6"/>
          </w:tcPr>
          <w:p>
            <w:pPr>
              <w:spacing w:after="0"/>
            </w:pPr>
            <w:r/>
            <w:r>
              <w:rPr>
                <w:sz w:val="19"/>
              </w:rPr>
              <w:t>₹9.5 Cr</w:t>
            </w:r>
          </w:p>
        </w:tc>
      </w:tr>
      <w:tr>
        <w:tc>
          <w:tcPr>
            <w:tcW w:type="dxa" w:w="3868"/>
            <w:vAlign w:val="center"/>
          </w:tcPr>
          <w:p>
            <w:pPr>
              <w:spacing w:after="0"/>
            </w:pPr>
            <w:r/>
            <w:r>
              <w:rPr>
                <w:sz w:val="19"/>
              </w:rPr>
              <w:t>Team size</w:t>
            </w:r>
          </w:p>
        </w:tc>
        <w:tc>
          <w:tcPr>
            <w:tcW w:type="dxa" w:w="2579"/>
            <w:vAlign w:val="center"/>
          </w:tcPr>
          <w:p>
            <w:pPr>
              <w:spacing w:after="0"/>
            </w:pPr>
            <w:r/>
            <w:r>
              <w:rPr>
                <w:sz w:val="19"/>
              </w:rPr>
              <w:t>12</w:t>
            </w:r>
          </w:p>
        </w:tc>
        <w:tc>
          <w:tcPr>
            <w:tcW w:type="dxa" w:w="2579"/>
            <w:vAlign w:val="center"/>
          </w:tcPr>
          <w:p>
            <w:pPr>
              <w:spacing w:after="0"/>
            </w:pPr>
            <w:r/>
            <w:r>
              <w:rPr>
                <w:sz w:val="19"/>
              </w:rPr>
              <w:t>45</w:t>
            </w:r>
          </w:p>
        </w:tc>
      </w:tr>
    </w:tbl>
    <w:p>
      <w:pPr>
        <w:spacing w:after="80"/>
      </w:pPr>
    </w:p>
    <w:p>
      <w:pPr>
        <w:pStyle w:val="Caption"/>
      </w:pPr>
      <w:r>
        <w:t>All projections in this plan are illustrative sample figures.</w:t>
      </w:r>
    </w:p>
    <w:p>
      <w:pPr>
        <w:pStyle w:val="Heading1"/>
      </w:pPr>
      <w:r>
        <w:t>Company Overview</w:t>
      </w:r>
    </w:p>
    <w:p>
      <w:pPr>
        <w:pStyle w:val="Heading2"/>
      </w:pPr>
      <w:r>
        <w:t>Mission</w:t>
      </w:r>
    </w:p>
    <w:p>
      <w:r>
        <w:t>To make fresh, honest food the easy everyday choice for city families while building a fair livelihood for small farmers.</w:t>
      </w:r>
    </w:p>
    <w:p>
      <w:pPr>
        <w:pStyle w:val="Heading2"/>
      </w:pPr>
      <w:r>
        <w:t>Products and Services</w:t>
      </w:r>
    </w:p>
    <w:p>
      <w:pPr>
        <w:pStyle w:val="ListBullet"/>
      </w:pPr>
      <w:r>
        <w:t>Weekly vegetable and fruit baskets</w:t>
      </w:r>
    </w:p>
    <w:p>
      <w:pPr>
        <w:pStyle w:val="ListBullet"/>
      </w:pPr>
      <w:r>
        <w:t>Staples: grains, pulses, cold-pressed oils</w:t>
      </w:r>
    </w:p>
    <w:p>
      <w:pPr>
        <w:pStyle w:val="ListBullet"/>
      </w:pPr>
      <w:r>
        <w:t>Dairy and eggs from partner farms</w:t>
      </w:r>
    </w:p>
    <w:p>
      <w:pPr>
        <w:pStyle w:val="ListBullet"/>
      </w:pPr>
      <w:r>
        <w:t>Corporate and housing-society bulk orders</w:t>
      </w:r>
    </w:p>
    <w:p>
      <w:pPr>
        <w:pStyle w:val="Heading2"/>
      </w:pPr>
      <w:r>
        <w:t>Legal Structure and Location</w:t>
      </w:r>
    </w:p>
    <w:p>
      <w:r>
        <w:t>The company is registered as a private limited company. Operations are based in a shared office space with a small warehouse for inventory, keeping fixed costs low during the early stage.</w:t>
      </w:r>
    </w:p>
    <w:p>
      <w:pPr>
        <w:pStyle w:val="Heading1"/>
      </w:pPr>
      <w:r>
        <w:t>Market Analysis</w:t>
      </w:r>
    </w:p>
    <w:p>
      <w:pPr>
        <w:pStyle w:val="Heading2"/>
      </w:pPr>
      <w:r>
        <w:t>Industry Overview</w:t>
      </w:r>
    </w:p>
    <w:p>
      <w:pPr>
        <w:jc w:val="both"/>
      </w:pPr>
      <w:r>
        <w:t>Demand for organic food has grown steadily over the last decade, driven by rising health awareness and higher disposable incomes in metro cities. However, the market remains fragmented, with many small brands and limited cold-chain infrastructure.</w:t>
      </w:r>
    </w:p>
    <w:p>
      <w:pPr>
        <w:pStyle w:val="Heading2"/>
      </w:pPr>
      <w:r>
        <w:t>Target Customers</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149"/>
        <w:gridCol w:w="5158"/>
        <w:gridCol w:w="1719"/>
      </w:tblGrid>
      <w:tr>
        <w:trPr>
          <w:tblHeader/>
        </w:trPr>
        <w:tc>
          <w:tcPr>
            <w:tcW w:type="dxa" w:w="2149"/>
            <w:vAlign w:val="center"/>
            <w:shd w:val="clear" w:color="auto" w:fill="1C1917"/>
          </w:tcPr>
          <w:p>
            <w:pPr>
              <w:spacing w:after="0"/>
            </w:pPr>
            <w:r/>
            <w:r>
              <w:rPr>
                <w:b/>
                <w:color w:val="FFFFFF"/>
                <w:sz w:val="19"/>
              </w:rPr>
              <w:t>Segment</w:t>
            </w:r>
          </w:p>
        </w:tc>
        <w:tc>
          <w:tcPr>
            <w:tcW w:type="dxa" w:w="5157"/>
            <w:vAlign w:val="center"/>
            <w:shd w:val="clear" w:color="auto" w:fill="1C1917"/>
          </w:tcPr>
          <w:p>
            <w:pPr>
              <w:spacing w:after="0"/>
            </w:pPr>
            <w:r/>
            <w:r>
              <w:rPr>
                <w:b/>
                <w:color w:val="FFFFFF"/>
                <w:sz w:val="19"/>
              </w:rPr>
              <w:t>Description</w:t>
            </w:r>
          </w:p>
        </w:tc>
        <w:tc>
          <w:tcPr>
            <w:tcW w:type="dxa" w:w="1719"/>
            <w:vAlign w:val="center"/>
            <w:shd w:val="clear" w:color="auto" w:fill="1C1917"/>
          </w:tcPr>
          <w:p>
            <w:pPr>
              <w:spacing w:after="0"/>
            </w:pPr>
            <w:r/>
            <w:r>
              <w:rPr>
                <w:b/>
                <w:color w:val="FFFFFF"/>
                <w:sz w:val="19"/>
              </w:rPr>
              <w:t>Priority</w:t>
            </w:r>
          </w:p>
        </w:tc>
      </w:tr>
      <w:tr>
        <w:tc>
          <w:tcPr>
            <w:tcW w:type="dxa" w:w="2149"/>
            <w:vAlign w:val="center"/>
          </w:tcPr>
          <w:p>
            <w:pPr>
              <w:spacing w:after="0"/>
            </w:pPr>
            <w:r/>
            <w:r>
              <w:rPr>
                <w:sz w:val="19"/>
              </w:rPr>
              <w:t>Young families</w:t>
            </w:r>
          </w:p>
        </w:tc>
        <w:tc>
          <w:tcPr>
            <w:tcW w:type="dxa" w:w="5157"/>
            <w:vAlign w:val="center"/>
          </w:tcPr>
          <w:p>
            <w:pPr>
              <w:spacing w:after="0"/>
            </w:pPr>
            <w:r/>
            <w:r>
              <w:rPr>
                <w:sz w:val="19"/>
              </w:rPr>
              <w:t>Health-conscious parents in metro cities</w:t>
            </w:r>
          </w:p>
        </w:tc>
        <w:tc>
          <w:tcPr>
            <w:tcW w:type="dxa" w:w="1719"/>
            <w:vAlign w:val="center"/>
          </w:tcPr>
          <w:p>
            <w:pPr>
              <w:spacing w:after="0"/>
            </w:pPr>
            <w:r/>
            <w:r>
              <w:rPr>
                <w:sz w:val="19"/>
              </w:rPr>
              <w:t>High</w:t>
            </w:r>
          </w:p>
        </w:tc>
      </w:tr>
      <w:tr>
        <w:tc>
          <w:tcPr>
            <w:tcW w:type="dxa" w:w="2149"/>
            <w:vAlign w:val="center"/>
            <w:shd w:val="clear" w:color="auto" w:fill="F6EFE6"/>
          </w:tcPr>
          <w:p>
            <w:pPr>
              <w:spacing w:after="0"/>
            </w:pPr>
            <w:r/>
            <w:r>
              <w:rPr>
                <w:sz w:val="19"/>
              </w:rPr>
              <w:t>Working professionals</w:t>
            </w:r>
          </w:p>
        </w:tc>
        <w:tc>
          <w:tcPr>
            <w:tcW w:type="dxa" w:w="5157"/>
            <w:vAlign w:val="center"/>
            <w:shd w:val="clear" w:color="auto" w:fill="F6EFE6"/>
          </w:tcPr>
          <w:p>
            <w:pPr>
              <w:spacing w:after="0"/>
            </w:pPr>
            <w:r/>
            <w:r>
              <w:rPr>
                <w:sz w:val="19"/>
              </w:rPr>
              <w:t>Value convenience and subscriptions</w:t>
            </w:r>
          </w:p>
        </w:tc>
        <w:tc>
          <w:tcPr>
            <w:tcW w:type="dxa" w:w="1719"/>
            <w:vAlign w:val="center"/>
            <w:shd w:val="clear" w:color="auto" w:fill="F6EFE6"/>
          </w:tcPr>
          <w:p>
            <w:pPr>
              <w:spacing w:after="0"/>
            </w:pPr>
            <w:r/>
            <w:r>
              <w:rPr>
                <w:sz w:val="19"/>
              </w:rPr>
              <w:t>High</w:t>
            </w:r>
          </w:p>
        </w:tc>
      </w:tr>
      <w:tr>
        <w:tc>
          <w:tcPr>
            <w:tcW w:type="dxa" w:w="2149"/>
            <w:vAlign w:val="center"/>
          </w:tcPr>
          <w:p>
            <w:pPr>
              <w:spacing w:after="0"/>
            </w:pPr>
            <w:r/>
            <w:r>
              <w:rPr>
                <w:sz w:val="19"/>
              </w:rPr>
              <w:t>Housing societies</w:t>
            </w:r>
          </w:p>
        </w:tc>
        <w:tc>
          <w:tcPr>
            <w:tcW w:type="dxa" w:w="5157"/>
            <w:vAlign w:val="center"/>
          </w:tcPr>
          <w:p>
            <w:pPr>
              <w:spacing w:after="0"/>
            </w:pPr>
            <w:r/>
            <w:r>
              <w:rPr>
                <w:sz w:val="19"/>
              </w:rPr>
              <w:t>Bulk weekly orders</w:t>
            </w:r>
          </w:p>
        </w:tc>
        <w:tc>
          <w:tcPr>
            <w:tcW w:type="dxa" w:w="1719"/>
            <w:vAlign w:val="center"/>
          </w:tcPr>
          <w:p>
            <w:pPr>
              <w:spacing w:after="0"/>
            </w:pPr>
            <w:r/>
            <w:r>
              <w:rPr>
                <w:sz w:val="19"/>
              </w:rPr>
              <w:t>Medium</w:t>
            </w:r>
          </w:p>
        </w:tc>
      </w:tr>
    </w:tbl>
    <w:p>
      <w:pPr>
        <w:spacing w:after="80"/>
      </w:pPr>
    </w:p>
    <w:p>
      <w:pPr>
        <w:pStyle w:val="Heading2"/>
      </w:pPr>
      <w:r>
        <w:t>Competition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61"/>
        <w:gridCol w:w="3282"/>
        <w:gridCol w:w="3282"/>
      </w:tblGrid>
      <w:tr>
        <w:trPr>
          <w:tblHeader/>
        </w:trPr>
        <w:tc>
          <w:tcPr>
            <w:tcW w:type="dxa" w:w="2462"/>
            <w:vAlign w:val="center"/>
            <w:shd w:val="clear" w:color="auto" w:fill="1C1917"/>
          </w:tcPr>
          <w:p>
            <w:pPr>
              <w:spacing w:after="0"/>
            </w:pPr>
            <w:r/>
            <w:r>
              <w:rPr>
                <w:b/>
                <w:color w:val="FFFFFF"/>
                <w:sz w:val="19"/>
              </w:rPr>
              <w:t>Competitor type</w:t>
            </w:r>
          </w:p>
        </w:tc>
        <w:tc>
          <w:tcPr>
            <w:tcW w:type="dxa" w:w="3282"/>
            <w:vAlign w:val="center"/>
            <w:shd w:val="clear" w:color="auto" w:fill="1C1917"/>
          </w:tcPr>
          <w:p>
            <w:pPr>
              <w:spacing w:after="0"/>
            </w:pPr>
            <w:r/>
            <w:r>
              <w:rPr>
                <w:b/>
                <w:color w:val="FFFFFF"/>
                <w:sz w:val="19"/>
              </w:rPr>
              <w:t>Strength</w:t>
            </w:r>
          </w:p>
        </w:tc>
        <w:tc>
          <w:tcPr>
            <w:tcW w:type="dxa" w:w="3282"/>
            <w:vAlign w:val="center"/>
            <w:shd w:val="clear" w:color="auto" w:fill="1C1917"/>
          </w:tcPr>
          <w:p>
            <w:pPr>
              <w:spacing w:after="0"/>
            </w:pPr>
            <w:r/>
            <w:r>
              <w:rPr>
                <w:b/>
                <w:color w:val="FFFFFF"/>
                <w:sz w:val="19"/>
              </w:rPr>
              <w:t>Our advantage</w:t>
            </w:r>
          </w:p>
        </w:tc>
      </w:tr>
      <w:tr>
        <w:tc>
          <w:tcPr>
            <w:tcW w:type="dxa" w:w="2462"/>
            <w:vAlign w:val="center"/>
          </w:tcPr>
          <w:p>
            <w:pPr>
              <w:spacing w:after="0"/>
            </w:pPr>
            <w:r/>
            <w:r>
              <w:rPr>
                <w:sz w:val="19"/>
              </w:rPr>
              <w:t>Large grocery apps</w:t>
            </w:r>
          </w:p>
        </w:tc>
        <w:tc>
          <w:tcPr>
            <w:tcW w:type="dxa" w:w="3282"/>
            <w:vAlign w:val="center"/>
          </w:tcPr>
          <w:p>
            <w:pPr>
              <w:spacing w:after="0"/>
            </w:pPr>
            <w:r/>
            <w:r>
              <w:rPr>
                <w:sz w:val="19"/>
              </w:rPr>
              <w:t>Scale and speed</w:t>
            </w:r>
          </w:p>
        </w:tc>
        <w:tc>
          <w:tcPr>
            <w:tcW w:type="dxa" w:w="3282"/>
            <w:vAlign w:val="center"/>
          </w:tcPr>
          <w:p>
            <w:pPr>
              <w:spacing w:after="0"/>
            </w:pPr>
            <w:r/>
            <w:r>
              <w:rPr>
                <w:sz w:val="19"/>
              </w:rPr>
              <w:t>Fresher, traceable produce</w:t>
            </w:r>
          </w:p>
        </w:tc>
      </w:tr>
      <w:tr>
        <w:tc>
          <w:tcPr>
            <w:tcW w:type="dxa" w:w="2462"/>
            <w:vAlign w:val="center"/>
            <w:shd w:val="clear" w:color="auto" w:fill="F6EFE6"/>
          </w:tcPr>
          <w:p>
            <w:pPr>
              <w:spacing w:after="0"/>
            </w:pPr>
            <w:r/>
            <w:r>
              <w:rPr>
                <w:sz w:val="19"/>
              </w:rPr>
              <w:t>Local organic stores</w:t>
            </w:r>
          </w:p>
        </w:tc>
        <w:tc>
          <w:tcPr>
            <w:tcW w:type="dxa" w:w="3282"/>
            <w:vAlign w:val="center"/>
            <w:shd w:val="clear" w:color="auto" w:fill="F6EFE6"/>
          </w:tcPr>
          <w:p>
            <w:pPr>
              <w:spacing w:after="0"/>
            </w:pPr>
            <w:r/>
            <w:r>
              <w:rPr>
                <w:sz w:val="19"/>
              </w:rPr>
              <w:t>Trust and familiarity</w:t>
            </w:r>
          </w:p>
        </w:tc>
        <w:tc>
          <w:tcPr>
            <w:tcW w:type="dxa" w:w="3282"/>
            <w:vAlign w:val="center"/>
            <w:shd w:val="clear" w:color="auto" w:fill="F6EFE6"/>
          </w:tcPr>
          <w:p>
            <w:pPr>
              <w:spacing w:after="0"/>
            </w:pPr>
            <w:r/>
            <w:r>
              <w:rPr>
                <w:sz w:val="19"/>
              </w:rPr>
              <w:t>Wider range, home delivery</w:t>
            </w:r>
          </w:p>
        </w:tc>
      </w:tr>
      <w:tr>
        <w:tc>
          <w:tcPr>
            <w:tcW w:type="dxa" w:w="2462"/>
            <w:vAlign w:val="center"/>
          </w:tcPr>
          <w:p>
            <w:pPr>
              <w:spacing w:after="0"/>
            </w:pPr>
            <w:r/>
            <w:r>
              <w:rPr>
                <w:sz w:val="19"/>
              </w:rPr>
              <w:t>Farmers markets</w:t>
            </w:r>
          </w:p>
        </w:tc>
        <w:tc>
          <w:tcPr>
            <w:tcW w:type="dxa" w:w="3282"/>
            <w:vAlign w:val="center"/>
          </w:tcPr>
          <w:p>
            <w:pPr>
              <w:spacing w:after="0"/>
            </w:pPr>
            <w:r/>
            <w:r>
              <w:rPr>
                <w:sz w:val="19"/>
              </w:rPr>
              <w:t>Direct relationship</w:t>
            </w:r>
          </w:p>
        </w:tc>
        <w:tc>
          <w:tcPr>
            <w:tcW w:type="dxa" w:w="3282"/>
            <w:vAlign w:val="center"/>
          </w:tcPr>
          <w:p>
            <w:pPr>
              <w:spacing w:after="0"/>
            </w:pPr>
            <w:r/>
            <w:r>
              <w:rPr>
                <w:sz w:val="19"/>
              </w:rPr>
              <w:t>Convenience, every day</w:t>
            </w:r>
          </w:p>
        </w:tc>
      </w:tr>
    </w:tbl>
    <w:p>
      <w:pPr>
        <w:spacing w:after="80"/>
      </w:pPr>
    </w:p>
    <w:p>
      <w:pPr>
        <w:pStyle w:val="Heading2"/>
      </w:pPr>
      <w:r>
        <w:t>SWOT Analysis</w:t>
      </w:r>
    </w:p>
    <w:tbl>
      <w:tblPr>
        <w:tblLayout w:type="fixed"/>
        <w:tblLook w:firstColumn="1" w:firstRow="1" w:lastColumn="0" w:lastRow="0" w:noHBand="0" w:noVBand="1" w:val="04A0"/>
        <w:tblW w:w="9026" w:type="dxa"/>
        <w:tblLayout w:type="fixed"/>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Pr>
      <w:tblGrid>
        <w:gridCol w:w="4513"/>
        <w:gridCol w:w="4513"/>
      </w:tblGrid>
      <w:tr>
        <w:tc>
          <w:tcPr>
            <w:tcW w:type="dxa" w:w="4513"/>
            <w:shd w:val="clear" w:color="auto" w:fill="F6EFE6"/>
          </w:tcPr>
          <w:p>
            <w:r>
              <w:rPr>
                <w:b/>
                <w:color w:val="A16207"/>
              </w:rPr>
              <w:t>Strengths</w:t>
            </w:r>
          </w:p>
          <w:p>
            <w:pPr>
              <w:spacing w:after="40"/>
            </w:pPr>
            <w:r>
              <w:t>• Direct farmer network</w:t>
            </w:r>
          </w:p>
          <w:p>
            <w:pPr>
              <w:spacing w:after="40"/>
            </w:pPr>
            <w:r>
              <w:t>• Loyal early customers</w:t>
            </w:r>
          </w:p>
        </w:tc>
        <w:tc>
          <w:tcPr>
            <w:tcW w:type="dxa" w:w="4513"/>
            <w:shd w:val="clear" w:color="auto" w:fill="EADCC8"/>
          </w:tcPr>
          <w:p>
            <w:r>
              <w:rPr>
                <w:b/>
                <w:color w:val="A16207"/>
              </w:rPr>
              <w:t>Weaknesses</w:t>
            </w:r>
          </w:p>
          <w:p>
            <w:pPr>
              <w:spacing w:after="40"/>
            </w:pPr>
            <w:r>
              <w:t>• Limited capital</w:t>
            </w:r>
          </w:p>
          <w:p>
            <w:pPr>
              <w:spacing w:after="40"/>
            </w:pPr>
            <w:r>
              <w:t>• Small brand</w:t>
            </w:r>
          </w:p>
        </w:tc>
      </w:tr>
      <w:tr>
        <w:tc>
          <w:tcPr>
            <w:tcW w:type="dxa" w:w="4513"/>
            <w:shd w:val="clear" w:color="auto" w:fill="EADCC8"/>
          </w:tcPr>
          <w:p>
            <w:r>
              <w:rPr>
                <w:b/>
                <w:color w:val="A16207"/>
              </w:rPr>
              <w:t>Opportunities</w:t>
            </w:r>
          </w:p>
          <w:p>
            <w:pPr>
              <w:spacing w:after="40"/>
            </w:pPr>
            <w:r>
              <w:t>• Rising health awareness</w:t>
            </w:r>
          </w:p>
          <w:p>
            <w:pPr>
              <w:spacing w:after="40"/>
            </w:pPr>
            <w:r>
              <w:t>• Society partnerships</w:t>
            </w:r>
          </w:p>
        </w:tc>
        <w:tc>
          <w:tcPr>
            <w:tcW w:type="dxa" w:w="4513"/>
            <w:shd w:val="clear" w:color="auto" w:fill="F6EFE6"/>
          </w:tcPr>
          <w:p>
            <w:r>
              <w:rPr>
                <w:b/>
                <w:color w:val="A16207"/>
              </w:rPr>
              <w:t>Threats</w:t>
            </w:r>
          </w:p>
          <w:p>
            <w:pPr>
              <w:spacing w:after="40"/>
            </w:pPr>
            <w:r>
              <w:t>• Price wars</w:t>
            </w:r>
          </w:p>
          <w:p>
            <w:pPr>
              <w:spacing w:after="40"/>
            </w:pPr>
            <w:r>
              <w:t>• Weather risk</w:t>
            </w:r>
          </w:p>
        </w:tc>
      </w:tr>
    </w:tbl>
    <w:p/>
    <w:p>
      <w:pPr>
        <w:pStyle w:val="Heading1"/>
      </w:pPr>
      <w:r>
        <w:t>Marketing and Sales Strategy</w:t>
      </w:r>
    </w:p>
    <w:p>
      <w:pPr>
        <w:jc w:val="both"/>
      </w:pPr>
      <w:r>
        <w:t>Our marketing focuses on trust and habit. We will use farm-visit content, transparent pricing and community partnerships to build a loyal subscriber base.</w:t>
      </w:r>
    </w:p>
    <w:p>
      <w:pPr>
        <w:pStyle w:val="ListBullet"/>
      </w:pPr>
      <w:r>
        <w:t>Instagram and WhatsApp communities</w:t>
      </w:r>
    </w:p>
    <w:p>
      <w:pPr>
        <w:pStyle w:val="ListBullet"/>
      </w:pPr>
      <w:r>
        <w:t>Housing-society pop-up stalls</w:t>
      </w:r>
    </w:p>
    <w:p>
      <w:pPr>
        <w:pStyle w:val="ListBullet"/>
      </w:pPr>
      <w:r>
        <w:t>Referral credits for every new subscriber</w:t>
      </w:r>
    </w:p>
    <w:p>
      <w:pPr>
        <w:pStyle w:val="ListBullet"/>
      </w:pPr>
      <w:r>
        <w:t>Partnerships with gyms and clinics</w:t>
      </w:r>
    </w:p>
    <w:p>
      <w:pPr>
        <w:pStyle w:val="Heading1"/>
      </w:pPr>
      <w:r>
        <w:t>Operations Plan</w:t>
      </w:r>
    </w:p>
    <w:p>
      <w:r>
        <w:t>Day-to-day operations are designed to be lean and measurable. Every core process has an owner, a written checklist and a weekly metric reviewed by the leadership team.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4103"/>
        <w:gridCol w:w="2461"/>
        <w:gridCol w:w="2461"/>
      </w:tblGrid>
      <w:tr>
        <w:trPr>
          <w:tblHeader/>
        </w:trPr>
        <w:tc>
          <w:tcPr>
            <w:tcW w:type="dxa" w:w="4103"/>
            <w:vAlign w:val="center"/>
            <w:shd w:val="clear" w:color="auto" w:fill="1C1917"/>
          </w:tcPr>
          <w:p>
            <w:pPr>
              <w:spacing w:after="0"/>
            </w:pPr>
            <w:r/>
            <w:r>
              <w:rPr>
                <w:b/>
                <w:color w:val="FFFFFF"/>
                <w:sz w:val="19"/>
              </w:rPr>
              <w:t>Milestone</w:t>
            </w:r>
          </w:p>
        </w:tc>
        <w:tc>
          <w:tcPr>
            <w:tcW w:type="dxa" w:w="2462"/>
            <w:vAlign w:val="center"/>
            <w:shd w:val="clear" w:color="auto" w:fill="1C1917"/>
          </w:tcPr>
          <w:p>
            <w:pPr>
              <w:spacing w:after="0"/>
            </w:pPr>
            <w:r/>
            <w:r>
              <w:rPr>
                <w:b/>
                <w:color w:val="FFFFFF"/>
                <w:sz w:val="19"/>
              </w:rPr>
              <w:t>Target date</w:t>
            </w:r>
          </w:p>
        </w:tc>
        <w:tc>
          <w:tcPr>
            <w:tcW w:type="dxa" w:w="2462"/>
            <w:vAlign w:val="center"/>
            <w:shd w:val="clear" w:color="auto" w:fill="1C1917"/>
          </w:tcPr>
          <w:p>
            <w:pPr>
              <w:spacing w:after="0"/>
            </w:pPr>
            <w:r/>
            <w:r>
              <w:rPr>
                <w:b/>
                <w:color w:val="FFFFFF"/>
                <w:sz w:val="19"/>
              </w:rPr>
              <w:t>Owner</w:t>
            </w:r>
          </w:p>
        </w:tc>
      </w:tr>
      <w:tr>
        <w:tc>
          <w:tcPr>
            <w:tcW w:type="dxa" w:w="4103"/>
            <w:vAlign w:val="center"/>
          </w:tcPr>
          <w:p>
            <w:pPr>
              <w:spacing w:after="0"/>
            </w:pPr>
            <w:r/>
            <w:r>
              <w:rPr>
                <w:sz w:val="19"/>
              </w:rPr>
              <w:t>Product launch</w:t>
            </w:r>
          </w:p>
        </w:tc>
        <w:tc>
          <w:tcPr>
            <w:tcW w:type="dxa" w:w="2462"/>
            <w:vAlign w:val="center"/>
          </w:tcPr>
          <w:p>
            <w:pPr>
              <w:spacing w:after="0"/>
            </w:pPr>
            <w:r/>
            <w:r>
              <w:rPr>
                <w:sz w:val="19"/>
              </w:rPr>
              <w:t>Q2 2026</w:t>
            </w:r>
          </w:p>
        </w:tc>
        <w:tc>
          <w:tcPr>
            <w:tcW w:type="dxa" w:w="2462"/>
            <w:vAlign w:val="center"/>
          </w:tcPr>
          <w:p>
            <w:pPr>
              <w:spacing w:after="0"/>
            </w:pPr>
            <w:r/>
            <w:r>
              <w:rPr>
                <w:sz w:val="19"/>
              </w:rPr>
              <w:t>Product</w:t>
            </w:r>
          </w:p>
        </w:tc>
      </w:tr>
      <w:tr>
        <w:tc>
          <w:tcPr>
            <w:tcW w:type="dxa" w:w="4103"/>
            <w:vAlign w:val="center"/>
            <w:shd w:val="clear" w:color="auto" w:fill="F6EFE6"/>
          </w:tcPr>
          <w:p>
            <w:pPr>
              <w:spacing w:after="0"/>
            </w:pPr>
            <w:r/>
            <w:r>
              <w:rPr>
                <w:sz w:val="19"/>
              </w:rPr>
              <w:t>First 1,000 customers</w:t>
            </w:r>
          </w:p>
        </w:tc>
        <w:tc>
          <w:tcPr>
            <w:tcW w:type="dxa" w:w="2462"/>
            <w:vAlign w:val="center"/>
            <w:shd w:val="clear" w:color="auto" w:fill="F6EFE6"/>
          </w:tcPr>
          <w:p>
            <w:pPr>
              <w:spacing w:after="0"/>
            </w:pPr>
            <w:r/>
            <w:r>
              <w:rPr>
                <w:sz w:val="19"/>
              </w:rPr>
              <w:t>Q4 2026</w:t>
            </w:r>
          </w:p>
        </w:tc>
        <w:tc>
          <w:tcPr>
            <w:tcW w:type="dxa" w:w="2462"/>
            <w:vAlign w:val="center"/>
            <w:shd w:val="clear" w:color="auto" w:fill="F6EFE6"/>
          </w:tcPr>
          <w:p>
            <w:pPr>
              <w:spacing w:after="0"/>
            </w:pPr>
            <w:r/>
            <w:r>
              <w:rPr>
                <w:sz w:val="19"/>
              </w:rPr>
              <w:t>Growth</w:t>
            </w:r>
          </w:p>
        </w:tc>
      </w:tr>
      <w:tr>
        <w:tc>
          <w:tcPr>
            <w:tcW w:type="dxa" w:w="4103"/>
            <w:vAlign w:val="center"/>
          </w:tcPr>
          <w:p>
            <w:pPr>
              <w:spacing w:after="0"/>
            </w:pPr>
            <w:r/>
            <w:r>
              <w:rPr>
                <w:sz w:val="19"/>
              </w:rPr>
              <w:t>Second city</w:t>
            </w:r>
          </w:p>
        </w:tc>
        <w:tc>
          <w:tcPr>
            <w:tcW w:type="dxa" w:w="2462"/>
            <w:vAlign w:val="center"/>
          </w:tcPr>
          <w:p>
            <w:pPr>
              <w:spacing w:after="0"/>
            </w:pPr>
            <w:r/>
            <w:r>
              <w:rPr>
                <w:sz w:val="19"/>
              </w:rPr>
              <w:t>Q2 2027</w:t>
            </w:r>
          </w:p>
        </w:tc>
        <w:tc>
          <w:tcPr>
            <w:tcW w:type="dxa" w:w="2462"/>
            <w:vAlign w:val="center"/>
          </w:tcPr>
          <w:p>
            <w:pPr>
              <w:spacing w:after="0"/>
            </w:pPr>
            <w:r/>
            <w:r>
              <w:rPr>
                <w:sz w:val="19"/>
              </w:rPr>
              <w:t>Operations</w:t>
            </w:r>
          </w:p>
        </w:tc>
      </w:tr>
      <w:tr>
        <w:tc>
          <w:tcPr>
            <w:tcW w:type="dxa" w:w="4103"/>
            <w:vAlign w:val="center"/>
            <w:shd w:val="clear" w:color="auto" w:fill="F6EFE6"/>
          </w:tcPr>
          <w:p>
            <w:pPr>
              <w:spacing w:after="0"/>
            </w:pPr>
            <w:r/>
            <w:r>
              <w:rPr>
                <w:sz w:val="19"/>
              </w:rPr>
              <w:t>Break-even</w:t>
            </w:r>
          </w:p>
        </w:tc>
        <w:tc>
          <w:tcPr>
            <w:tcW w:type="dxa" w:w="2462"/>
            <w:vAlign w:val="center"/>
            <w:shd w:val="clear" w:color="auto" w:fill="F6EFE6"/>
          </w:tcPr>
          <w:p>
            <w:pPr>
              <w:spacing w:after="0"/>
            </w:pPr>
            <w:r/>
            <w:r>
              <w:rPr>
                <w:sz w:val="19"/>
              </w:rPr>
              <w:t>Q4 2027</w:t>
            </w:r>
          </w:p>
        </w:tc>
        <w:tc>
          <w:tcPr>
            <w:tcW w:type="dxa" w:w="2462"/>
            <w:vAlign w:val="center"/>
            <w:shd w:val="clear" w:color="auto" w:fill="F6EFE6"/>
          </w:tcPr>
          <w:p>
            <w:pPr>
              <w:spacing w:after="0"/>
            </w:pPr>
            <w:r/>
            <w:r>
              <w:rPr>
                <w:sz w:val="19"/>
              </w:rPr>
              <w:t>Finance</w:t>
            </w:r>
          </w:p>
        </w:tc>
      </w:tr>
    </w:tbl>
    <w:p>
      <w:pPr>
        <w:spacing w:after="80"/>
      </w:pPr>
    </w:p>
    <w:p>
      <w:pPr>
        <w:pStyle w:val="Heading1"/>
      </w:pPr>
      <w:r>
        <w:t>Management Team</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2256"/>
        <w:gridCol w:w="4513"/>
      </w:tblGrid>
      <w:tr>
        <w:trPr>
          <w:tblHeader/>
        </w:trPr>
        <w:tc>
          <w:tcPr>
            <w:tcW w:type="dxa" w:w="2256"/>
            <w:vAlign w:val="center"/>
            <w:shd w:val="clear" w:color="auto" w:fill="1C1917"/>
          </w:tcPr>
          <w:p>
            <w:pPr>
              <w:spacing w:after="0"/>
            </w:pPr>
            <w:r/>
            <w:r>
              <w:rPr>
                <w:b/>
                <w:color w:val="FFFFFF"/>
                <w:sz w:val="19"/>
              </w:rPr>
              <w:t>Name</w:t>
            </w:r>
          </w:p>
        </w:tc>
        <w:tc>
          <w:tcPr>
            <w:tcW w:type="dxa" w:w="2256"/>
            <w:vAlign w:val="center"/>
            <w:shd w:val="clear" w:color="auto" w:fill="1C1917"/>
          </w:tcPr>
          <w:p>
            <w:pPr>
              <w:spacing w:after="0"/>
            </w:pPr>
            <w:r/>
            <w:r>
              <w:rPr>
                <w:b/>
                <w:color w:val="FFFFFF"/>
                <w:sz w:val="19"/>
              </w:rPr>
              <w:t>Role</w:t>
            </w:r>
          </w:p>
        </w:tc>
        <w:tc>
          <w:tcPr>
            <w:tcW w:type="dxa" w:w="4513"/>
            <w:vAlign w:val="center"/>
            <w:shd w:val="clear" w:color="auto" w:fill="1C1917"/>
          </w:tcPr>
          <w:p>
            <w:pPr>
              <w:spacing w:after="0"/>
            </w:pPr>
            <w:r/>
            <w:r>
              <w:rPr>
                <w:b/>
                <w:color w:val="FFFFFF"/>
                <w:sz w:val="19"/>
              </w:rPr>
              <w:t>Background</w:t>
            </w:r>
          </w:p>
        </w:tc>
      </w:tr>
      <w:tr>
        <w:tc>
          <w:tcPr>
            <w:tcW w:type="dxa" w:w="2256"/>
            <w:vAlign w:val="center"/>
          </w:tcPr>
          <w:p>
            <w:pPr>
              <w:spacing w:after="0"/>
            </w:pPr>
            <w:r/>
            <w:r>
              <w:rPr>
                <w:sz w:val="19"/>
              </w:rPr>
              <w:t>Kabir Rao</w:t>
            </w:r>
          </w:p>
        </w:tc>
        <w:tc>
          <w:tcPr>
            <w:tcW w:type="dxa" w:w="2256"/>
            <w:vAlign w:val="center"/>
          </w:tcPr>
          <w:p>
            <w:pPr>
              <w:spacing w:after="0"/>
            </w:pPr>
            <w:r/>
            <w:r>
              <w:rPr>
                <w:sz w:val="19"/>
              </w:rPr>
              <w:t>Chief Executive</w:t>
            </w:r>
          </w:p>
        </w:tc>
        <w:tc>
          <w:tcPr>
            <w:tcW w:type="dxa" w:w="4513"/>
            <w:vAlign w:val="center"/>
          </w:tcPr>
          <w:p>
            <w:pPr>
              <w:spacing w:after="0"/>
            </w:pPr>
            <w:r/>
            <w:r>
              <w:rPr>
                <w:sz w:val="19"/>
              </w:rPr>
              <w:t>10 years in consumer businesses</w:t>
            </w:r>
          </w:p>
        </w:tc>
      </w:tr>
      <w:tr>
        <w:tc>
          <w:tcPr>
            <w:tcW w:type="dxa" w:w="2256"/>
            <w:vAlign w:val="center"/>
            <w:shd w:val="clear" w:color="auto" w:fill="F6EFE6"/>
          </w:tcPr>
          <w:p>
            <w:pPr>
              <w:spacing w:after="0"/>
            </w:pPr>
            <w:r/>
            <w:r>
              <w:rPr>
                <w:sz w:val="19"/>
              </w:rPr>
              <w:t>Meera Iyer</w:t>
            </w:r>
          </w:p>
        </w:tc>
        <w:tc>
          <w:tcPr>
            <w:tcW w:type="dxa" w:w="2256"/>
            <w:vAlign w:val="center"/>
            <w:shd w:val="clear" w:color="auto" w:fill="F6EFE6"/>
          </w:tcPr>
          <w:p>
            <w:pPr>
              <w:spacing w:after="0"/>
            </w:pPr>
            <w:r/>
            <w:r>
              <w:rPr>
                <w:sz w:val="19"/>
              </w:rPr>
              <w:t>Chief Technology</w:t>
            </w:r>
          </w:p>
        </w:tc>
        <w:tc>
          <w:tcPr>
            <w:tcW w:type="dxa" w:w="4513"/>
            <w:vAlign w:val="center"/>
            <w:shd w:val="clear" w:color="auto" w:fill="F6EFE6"/>
          </w:tcPr>
          <w:p>
            <w:pPr>
              <w:spacing w:after="0"/>
            </w:pPr>
            <w:r/>
            <w:r>
              <w:rPr>
                <w:sz w:val="19"/>
              </w:rPr>
              <w:t>Built platforms for fast-growing startups</w:t>
            </w:r>
          </w:p>
        </w:tc>
      </w:tr>
      <w:tr>
        <w:tc>
          <w:tcPr>
            <w:tcW w:type="dxa" w:w="2256"/>
            <w:vAlign w:val="center"/>
          </w:tcPr>
          <w:p>
            <w:pPr>
              <w:spacing w:after="0"/>
            </w:pPr>
            <w:r/>
            <w:r>
              <w:rPr>
                <w:sz w:val="19"/>
              </w:rPr>
              <w:t>Arjun Nair</w:t>
            </w:r>
          </w:p>
        </w:tc>
        <w:tc>
          <w:tcPr>
            <w:tcW w:type="dxa" w:w="2256"/>
            <w:vAlign w:val="center"/>
          </w:tcPr>
          <w:p>
            <w:pPr>
              <w:spacing w:after="0"/>
            </w:pPr>
            <w:r/>
            <w:r>
              <w:rPr>
                <w:sz w:val="19"/>
              </w:rPr>
              <w:t>Operations</w:t>
            </w:r>
          </w:p>
        </w:tc>
        <w:tc>
          <w:tcPr>
            <w:tcW w:type="dxa" w:w="4513"/>
            <w:vAlign w:val="center"/>
          </w:tcPr>
          <w:p>
            <w:pPr>
              <w:spacing w:after="0"/>
            </w:pPr>
            <w:r/>
            <w:r>
              <w:rPr>
                <w:sz w:val="19"/>
              </w:rPr>
              <w:t>Supply chain and logistics specialist</w:t>
            </w:r>
          </w:p>
        </w:tc>
      </w:tr>
    </w:tbl>
    <w:p>
      <w:pPr>
        <w:spacing w:after="80"/>
      </w:pPr>
    </w:p>
    <w:p>
      <w:pPr>
        <w:pStyle w:val="Heading1"/>
      </w:pPr>
      <w:r>
        <w:t>Financial Plan</w:t>
      </w:r>
    </w:p>
    <w:p>
      <w:r>
        <w:t>The projections below assume steady customer growth, stable pricing and gradual improvement in gross margin as volumes increase. They are sample figures intended to show the structure of a financial plan.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777"/>
        <w:gridCol w:w="2083"/>
        <w:gridCol w:w="2083"/>
        <w:gridCol w:w="2083"/>
      </w:tblGrid>
      <w:tr>
        <w:trPr>
          <w:tblHeader/>
        </w:trPr>
        <w:tc>
          <w:tcPr>
            <w:tcW w:type="dxa" w:w="2777"/>
            <w:vAlign w:val="center"/>
            <w:shd w:val="clear" w:color="auto" w:fill="1C1917"/>
          </w:tcPr>
          <w:p>
            <w:pPr>
              <w:spacing w:after="0"/>
              <w:jc w:val="left"/>
            </w:pPr>
            <w:r/>
            <w:r>
              <w:rPr>
                <w:b/>
                <w:color w:val="FFFFFF"/>
                <w:sz w:val="19"/>
              </w:rPr>
              <w:t>(₹ lakh)</w:t>
            </w:r>
          </w:p>
        </w:tc>
        <w:tc>
          <w:tcPr>
            <w:tcW w:type="dxa" w:w="2083"/>
            <w:vAlign w:val="center"/>
            <w:shd w:val="clear" w:color="auto" w:fill="1C1917"/>
          </w:tcPr>
          <w:p>
            <w:pPr>
              <w:spacing w:after="0"/>
              <w:jc w:val="right"/>
            </w:pPr>
            <w:r/>
            <w:r>
              <w:rPr>
                <w:b/>
                <w:color w:val="FFFFFF"/>
                <w:sz w:val="19"/>
              </w:rPr>
              <w:t>FY 2026–27</w:t>
            </w:r>
          </w:p>
        </w:tc>
        <w:tc>
          <w:tcPr>
            <w:tcW w:type="dxa" w:w="2083"/>
            <w:vAlign w:val="center"/>
            <w:shd w:val="clear" w:color="auto" w:fill="1C1917"/>
          </w:tcPr>
          <w:p>
            <w:pPr>
              <w:spacing w:after="0"/>
              <w:jc w:val="right"/>
            </w:pPr>
            <w:r/>
            <w:r>
              <w:rPr>
                <w:b/>
                <w:color w:val="FFFFFF"/>
                <w:sz w:val="19"/>
              </w:rPr>
              <w:t>FY 2027–28</w:t>
            </w:r>
          </w:p>
        </w:tc>
        <w:tc>
          <w:tcPr>
            <w:tcW w:type="dxa" w:w="2083"/>
            <w:vAlign w:val="center"/>
            <w:shd w:val="clear" w:color="auto" w:fill="1C1917"/>
          </w:tcPr>
          <w:p>
            <w:pPr>
              <w:spacing w:after="0"/>
              <w:jc w:val="right"/>
            </w:pPr>
            <w:r/>
            <w:r>
              <w:rPr>
                <w:b/>
                <w:color w:val="FFFFFF"/>
                <w:sz w:val="19"/>
              </w:rPr>
              <w:t>FY 2028–29</w:t>
            </w:r>
          </w:p>
        </w:tc>
      </w:tr>
      <w:tr>
        <w:tc>
          <w:tcPr>
            <w:tcW w:type="dxa" w:w="2777"/>
            <w:vAlign w:val="center"/>
          </w:tcPr>
          <w:p>
            <w:pPr>
              <w:spacing w:after="0"/>
              <w:jc w:val="left"/>
            </w:pPr>
            <w:r/>
            <w:r>
              <w:rPr>
                <w:sz w:val="19"/>
              </w:rPr>
              <w:t>Revenue</w:t>
            </w:r>
          </w:p>
        </w:tc>
        <w:tc>
          <w:tcPr>
            <w:tcW w:type="dxa" w:w="2083"/>
            <w:vAlign w:val="center"/>
          </w:tcPr>
          <w:p>
            <w:pPr>
              <w:spacing w:after="0"/>
              <w:jc w:val="right"/>
            </w:pPr>
            <w:r/>
            <w:r>
              <w:rPr>
                <w:sz w:val="19"/>
              </w:rPr>
              <w:t>120</w:t>
            </w:r>
          </w:p>
        </w:tc>
        <w:tc>
          <w:tcPr>
            <w:tcW w:type="dxa" w:w="2083"/>
            <w:vAlign w:val="center"/>
          </w:tcPr>
          <w:p>
            <w:pPr>
              <w:spacing w:after="0"/>
              <w:jc w:val="right"/>
            </w:pPr>
            <w:r/>
            <w:r>
              <w:rPr>
                <w:sz w:val="19"/>
              </w:rPr>
              <w:t>420</w:t>
            </w:r>
          </w:p>
        </w:tc>
        <w:tc>
          <w:tcPr>
            <w:tcW w:type="dxa" w:w="2083"/>
            <w:vAlign w:val="center"/>
          </w:tcPr>
          <w:p>
            <w:pPr>
              <w:spacing w:after="0"/>
              <w:jc w:val="right"/>
            </w:pPr>
            <w:r/>
            <w:r>
              <w:rPr>
                <w:sz w:val="19"/>
              </w:rPr>
              <w:t>950</w:t>
            </w:r>
          </w:p>
        </w:tc>
      </w:tr>
      <w:tr>
        <w:tc>
          <w:tcPr>
            <w:tcW w:type="dxa" w:w="2777"/>
            <w:vAlign w:val="center"/>
            <w:shd w:val="clear" w:color="auto" w:fill="F6EFE6"/>
          </w:tcPr>
          <w:p>
            <w:pPr>
              <w:spacing w:after="0"/>
              <w:jc w:val="left"/>
            </w:pPr>
            <w:r/>
            <w:r>
              <w:rPr>
                <w:sz w:val="19"/>
              </w:rPr>
              <w:t>Cost of sales</w:t>
            </w:r>
          </w:p>
        </w:tc>
        <w:tc>
          <w:tcPr>
            <w:tcW w:type="dxa" w:w="2083"/>
            <w:vAlign w:val="center"/>
            <w:shd w:val="clear" w:color="auto" w:fill="F6EFE6"/>
          </w:tcPr>
          <w:p>
            <w:pPr>
              <w:spacing w:after="0"/>
              <w:jc w:val="right"/>
            </w:pPr>
            <w:r/>
            <w:r>
              <w:rPr>
                <w:sz w:val="19"/>
              </w:rPr>
              <w:t>72</w:t>
            </w:r>
          </w:p>
        </w:tc>
        <w:tc>
          <w:tcPr>
            <w:tcW w:type="dxa" w:w="2083"/>
            <w:vAlign w:val="center"/>
            <w:shd w:val="clear" w:color="auto" w:fill="F6EFE6"/>
          </w:tcPr>
          <w:p>
            <w:pPr>
              <w:spacing w:after="0"/>
              <w:jc w:val="right"/>
            </w:pPr>
            <w:r/>
            <w:r>
              <w:rPr>
                <w:sz w:val="19"/>
              </w:rPr>
              <w:t>231</w:t>
            </w:r>
          </w:p>
        </w:tc>
        <w:tc>
          <w:tcPr>
            <w:tcW w:type="dxa" w:w="2083"/>
            <w:vAlign w:val="center"/>
            <w:shd w:val="clear" w:color="auto" w:fill="F6EFE6"/>
          </w:tcPr>
          <w:p>
            <w:pPr>
              <w:spacing w:after="0"/>
              <w:jc w:val="right"/>
            </w:pPr>
            <w:r/>
            <w:r>
              <w:rPr>
                <w:sz w:val="19"/>
              </w:rPr>
              <w:t>475</w:t>
            </w:r>
          </w:p>
        </w:tc>
      </w:tr>
      <w:tr>
        <w:tc>
          <w:tcPr>
            <w:tcW w:type="dxa" w:w="2777"/>
            <w:vAlign w:val="center"/>
          </w:tcPr>
          <w:p>
            <w:pPr>
              <w:spacing w:after="0"/>
              <w:jc w:val="left"/>
            </w:pPr>
            <w:r/>
            <w:r>
              <w:rPr>
                <w:sz w:val="19"/>
              </w:rPr>
              <w:t>Gross profit</w:t>
            </w:r>
          </w:p>
        </w:tc>
        <w:tc>
          <w:tcPr>
            <w:tcW w:type="dxa" w:w="2083"/>
            <w:vAlign w:val="center"/>
          </w:tcPr>
          <w:p>
            <w:pPr>
              <w:spacing w:after="0"/>
              <w:jc w:val="right"/>
            </w:pPr>
            <w:r/>
            <w:r>
              <w:rPr>
                <w:sz w:val="19"/>
              </w:rPr>
              <w:t>48</w:t>
            </w:r>
          </w:p>
        </w:tc>
        <w:tc>
          <w:tcPr>
            <w:tcW w:type="dxa" w:w="2083"/>
            <w:vAlign w:val="center"/>
          </w:tcPr>
          <w:p>
            <w:pPr>
              <w:spacing w:after="0"/>
              <w:jc w:val="right"/>
            </w:pPr>
            <w:r/>
            <w:r>
              <w:rPr>
                <w:sz w:val="19"/>
              </w:rPr>
              <w:t>189</w:t>
            </w:r>
          </w:p>
        </w:tc>
        <w:tc>
          <w:tcPr>
            <w:tcW w:type="dxa" w:w="2083"/>
            <w:vAlign w:val="center"/>
          </w:tcPr>
          <w:p>
            <w:pPr>
              <w:spacing w:after="0"/>
              <w:jc w:val="right"/>
            </w:pPr>
            <w:r/>
            <w:r>
              <w:rPr>
                <w:sz w:val="19"/>
              </w:rPr>
              <w:t>475</w:t>
            </w:r>
          </w:p>
        </w:tc>
      </w:tr>
      <w:tr>
        <w:tc>
          <w:tcPr>
            <w:tcW w:type="dxa" w:w="2777"/>
            <w:vAlign w:val="center"/>
            <w:shd w:val="clear" w:color="auto" w:fill="F6EFE6"/>
          </w:tcPr>
          <w:p>
            <w:pPr>
              <w:spacing w:after="0"/>
              <w:jc w:val="left"/>
            </w:pPr>
            <w:r/>
            <w:r>
              <w:rPr>
                <w:sz w:val="19"/>
              </w:rPr>
              <w:t>Operating expenses</w:t>
            </w:r>
          </w:p>
        </w:tc>
        <w:tc>
          <w:tcPr>
            <w:tcW w:type="dxa" w:w="2083"/>
            <w:vAlign w:val="center"/>
            <w:shd w:val="clear" w:color="auto" w:fill="F6EFE6"/>
          </w:tcPr>
          <w:p>
            <w:pPr>
              <w:spacing w:after="0"/>
              <w:jc w:val="right"/>
            </w:pPr>
            <w:r/>
            <w:r>
              <w:rPr>
                <w:sz w:val="19"/>
              </w:rPr>
              <w:t>95</w:t>
            </w:r>
          </w:p>
        </w:tc>
        <w:tc>
          <w:tcPr>
            <w:tcW w:type="dxa" w:w="2083"/>
            <w:vAlign w:val="center"/>
            <w:shd w:val="clear" w:color="auto" w:fill="F6EFE6"/>
          </w:tcPr>
          <w:p>
            <w:pPr>
              <w:spacing w:after="0"/>
              <w:jc w:val="right"/>
            </w:pPr>
            <w:r/>
            <w:r>
              <w:rPr>
                <w:sz w:val="19"/>
              </w:rPr>
              <w:t>160</w:t>
            </w:r>
          </w:p>
        </w:tc>
        <w:tc>
          <w:tcPr>
            <w:tcW w:type="dxa" w:w="2083"/>
            <w:vAlign w:val="center"/>
            <w:shd w:val="clear" w:color="auto" w:fill="F6EFE6"/>
          </w:tcPr>
          <w:p>
            <w:pPr>
              <w:spacing w:after="0"/>
              <w:jc w:val="right"/>
            </w:pPr>
            <w:r/>
            <w:r>
              <w:rPr>
                <w:sz w:val="19"/>
              </w:rPr>
              <w:t>290</w:t>
            </w:r>
          </w:p>
        </w:tc>
      </w:tr>
      <w:tr>
        <w:tc>
          <w:tcPr>
            <w:tcW w:type="dxa" w:w="2777"/>
            <w:vAlign w:val="center"/>
          </w:tcPr>
          <w:p>
            <w:pPr>
              <w:spacing w:after="0"/>
              <w:jc w:val="left"/>
            </w:pPr>
            <w:r/>
            <w:r>
              <w:rPr>
                <w:sz w:val="19"/>
              </w:rPr>
              <w:t>Net profit / (loss)</w:t>
            </w:r>
          </w:p>
        </w:tc>
        <w:tc>
          <w:tcPr>
            <w:tcW w:type="dxa" w:w="2083"/>
            <w:vAlign w:val="center"/>
          </w:tcPr>
          <w:p>
            <w:pPr>
              <w:spacing w:after="0"/>
              <w:jc w:val="right"/>
            </w:pPr>
            <w:r/>
            <w:r>
              <w:rPr>
                <w:sz w:val="19"/>
              </w:rPr>
              <w:t>(47)</w:t>
            </w:r>
          </w:p>
        </w:tc>
        <w:tc>
          <w:tcPr>
            <w:tcW w:type="dxa" w:w="2083"/>
            <w:vAlign w:val="center"/>
          </w:tcPr>
          <w:p>
            <w:pPr>
              <w:spacing w:after="0"/>
              <w:jc w:val="right"/>
            </w:pPr>
            <w:r/>
            <w:r>
              <w:rPr>
                <w:sz w:val="19"/>
              </w:rPr>
              <w:t>29</w:t>
            </w:r>
          </w:p>
        </w:tc>
        <w:tc>
          <w:tcPr>
            <w:tcW w:type="dxa" w:w="2083"/>
            <w:vAlign w:val="center"/>
          </w:tcPr>
          <w:p>
            <w:pPr>
              <w:spacing w:after="0"/>
              <w:jc w:val="right"/>
            </w:pPr>
            <w:r/>
            <w:r>
              <w:rPr>
                <w:sz w:val="19"/>
              </w:rPr>
              <w:t>185</w:t>
            </w:r>
          </w:p>
        </w:tc>
      </w:tr>
    </w:tbl>
    <w:p>
      <w:pPr>
        <w:spacing w:after="80"/>
      </w:pPr>
    </w:p>
    <w:p>
      <w:pPr>
        <w:pStyle w:val="Heading2"/>
      </w:pPr>
      <w:r>
        <w:t>Funding Requirement</w:t>
      </w:r>
    </w:p>
    <w:p>
      <w:r>
        <w:t>We are seeking ₹2.5 crore in seed funding to expand to two new cities, build a cold-chain hub and grow the team over the next 24 months.</w:t>
      </w:r>
    </w:p>
    <w:p>
      <w:pPr>
        <w:pStyle w:val="ListBullet"/>
      </w:pPr>
      <w:r>
        <w:t>Product development — 40%</w:t>
      </w:r>
    </w:p>
    <w:p>
      <w:pPr>
        <w:pStyle w:val="ListBullet"/>
      </w:pPr>
      <w:r>
        <w:t>Marketing and customer acquisition — 30%</w:t>
      </w:r>
    </w:p>
    <w:p>
      <w:pPr>
        <w:pStyle w:val="ListBullet"/>
      </w:pPr>
      <w:r>
        <w:t>Operations and hiring — 20%</w:t>
      </w:r>
    </w:p>
    <w:p>
      <w:pPr>
        <w:pStyle w:val="ListBullet"/>
      </w:pPr>
      <w:r>
        <w:t>Working capital reserve — 10%</w:t>
      </w:r>
    </w:p>
    <w:p>
      <w:pPr>
        <w:pStyle w:val="Heading1"/>
      </w:pPr>
      <w:r>
        <w:t>Risks and Mitigation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461"/>
        <w:gridCol w:w="1641"/>
        <w:gridCol w:w="4923"/>
      </w:tblGrid>
      <w:tr>
        <w:trPr>
          <w:tblHeader/>
        </w:trPr>
        <w:tc>
          <w:tcPr>
            <w:tcW w:type="dxa" w:w="2462"/>
            <w:vAlign w:val="center"/>
            <w:shd w:val="clear" w:color="auto" w:fill="1C1917"/>
          </w:tcPr>
          <w:p>
            <w:pPr>
              <w:spacing w:after="0"/>
            </w:pPr>
            <w:r/>
            <w:r>
              <w:rPr>
                <w:b/>
                <w:color w:val="FFFFFF"/>
                <w:sz w:val="19"/>
              </w:rPr>
              <w:t>Risk</w:t>
            </w:r>
          </w:p>
        </w:tc>
        <w:tc>
          <w:tcPr>
            <w:tcW w:type="dxa" w:w="1641"/>
            <w:vAlign w:val="center"/>
            <w:shd w:val="clear" w:color="auto" w:fill="1C1917"/>
          </w:tcPr>
          <w:p>
            <w:pPr>
              <w:spacing w:after="0"/>
            </w:pPr>
            <w:r/>
            <w:r>
              <w:rPr>
                <w:b/>
                <w:color w:val="FFFFFF"/>
                <w:sz w:val="19"/>
              </w:rPr>
              <w:t>Impact</w:t>
            </w:r>
          </w:p>
        </w:tc>
        <w:tc>
          <w:tcPr>
            <w:tcW w:type="dxa" w:w="4923"/>
            <w:vAlign w:val="center"/>
            <w:shd w:val="clear" w:color="auto" w:fill="1C1917"/>
          </w:tcPr>
          <w:p>
            <w:pPr>
              <w:spacing w:after="0"/>
            </w:pPr>
            <w:r/>
            <w:r>
              <w:rPr>
                <w:b/>
                <w:color w:val="FFFFFF"/>
                <w:sz w:val="19"/>
              </w:rPr>
              <w:t>Mitigation</w:t>
            </w:r>
          </w:p>
        </w:tc>
      </w:tr>
      <w:tr>
        <w:tc>
          <w:tcPr>
            <w:tcW w:type="dxa" w:w="2462"/>
            <w:vAlign w:val="center"/>
          </w:tcPr>
          <w:p>
            <w:pPr>
              <w:spacing w:after="0"/>
            </w:pPr>
            <w:r/>
            <w:r>
              <w:rPr>
                <w:sz w:val="19"/>
              </w:rPr>
              <w:t>Slower adoption</w:t>
            </w:r>
          </w:p>
        </w:tc>
        <w:tc>
          <w:tcPr>
            <w:tcW w:type="dxa" w:w="1641"/>
            <w:vAlign w:val="center"/>
          </w:tcPr>
          <w:p>
            <w:pPr>
              <w:spacing w:after="0"/>
            </w:pPr>
            <w:r/>
            <w:r>
              <w:rPr>
                <w:sz w:val="19"/>
              </w:rPr>
              <w:t>High</w:t>
            </w:r>
          </w:p>
        </w:tc>
        <w:tc>
          <w:tcPr>
            <w:tcW w:type="dxa" w:w="4923"/>
            <w:vAlign w:val="center"/>
          </w:tcPr>
          <w:p>
            <w:pPr>
              <w:spacing w:after="0"/>
            </w:pPr>
            <w:r/>
            <w:r>
              <w:rPr>
                <w:sz w:val="19"/>
              </w:rPr>
              <w:t>Pilot programmes and referral incentives</w:t>
            </w:r>
          </w:p>
        </w:tc>
      </w:tr>
      <w:tr>
        <w:tc>
          <w:tcPr>
            <w:tcW w:type="dxa" w:w="2462"/>
            <w:vAlign w:val="center"/>
            <w:shd w:val="clear" w:color="auto" w:fill="F6EFE6"/>
          </w:tcPr>
          <w:p>
            <w:pPr>
              <w:spacing w:after="0"/>
            </w:pPr>
            <w:r/>
            <w:r>
              <w:rPr>
                <w:sz w:val="19"/>
              </w:rPr>
              <w:t>Rising costs</w:t>
            </w:r>
          </w:p>
        </w:tc>
        <w:tc>
          <w:tcPr>
            <w:tcW w:type="dxa" w:w="1641"/>
            <w:vAlign w:val="center"/>
            <w:shd w:val="clear" w:color="auto" w:fill="F6EFE6"/>
          </w:tcPr>
          <w:p>
            <w:pPr>
              <w:spacing w:after="0"/>
            </w:pPr>
            <w:r/>
            <w:r>
              <w:rPr>
                <w:sz w:val="19"/>
              </w:rPr>
              <w:t>Medium</w:t>
            </w:r>
          </w:p>
        </w:tc>
        <w:tc>
          <w:tcPr>
            <w:tcW w:type="dxa" w:w="4923"/>
            <w:vAlign w:val="center"/>
            <w:shd w:val="clear" w:color="auto" w:fill="F6EFE6"/>
          </w:tcPr>
          <w:p>
            <w:pPr>
              <w:spacing w:after="0"/>
            </w:pPr>
            <w:r/>
            <w:r>
              <w:rPr>
                <w:sz w:val="19"/>
              </w:rPr>
              <w:t>Long-term supplier contracts</w:t>
            </w:r>
          </w:p>
        </w:tc>
      </w:tr>
      <w:tr>
        <w:tc>
          <w:tcPr>
            <w:tcW w:type="dxa" w:w="2462"/>
            <w:vAlign w:val="center"/>
          </w:tcPr>
          <w:p>
            <w:pPr>
              <w:spacing w:after="0"/>
            </w:pPr>
            <w:r/>
            <w:r>
              <w:rPr>
                <w:sz w:val="19"/>
              </w:rPr>
              <w:t>New competitors</w:t>
            </w:r>
          </w:p>
        </w:tc>
        <w:tc>
          <w:tcPr>
            <w:tcW w:type="dxa" w:w="1641"/>
            <w:vAlign w:val="center"/>
          </w:tcPr>
          <w:p>
            <w:pPr>
              <w:spacing w:after="0"/>
            </w:pPr>
            <w:r/>
            <w:r>
              <w:rPr>
                <w:sz w:val="19"/>
              </w:rPr>
              <w:t>Medium</w:t>
            </w:r>
          </w:p>
        </w:tc>
        <w:tc>
          <w:tcPr>
            <w:tcW w:type="dxa" w:w="4923"/>
            <w:vAlign w:val="center"/>
          </w:tcPr>
          <w:p>
            <w:pPr>
              <w:spacing w:after="0"/>
            </w:pPr>
            <w:r/>
            <w:r>
              <w:rPr>
                <w:sz w:val="19"/>
              </w:rPr>
              <w:t>Focus on service quality and brand</w:t>
            </w:r>
          </w:p>
        </w:tc>
      </w:tr>
    </w:tbl>
    <w:p>
      <w:pPr>
        <w:spacing w:after="80"/>
      </w:pPr>
    </w:p>
    <w:p>
      <w:pPr>
        <w:pStyle w:val="Heading1"/>
      </w:pPr>
      <w:r>
        <w:t>Appendix</w:t>
      </w:r>
    </w:p>
    <w:p>
      <w:pPr>
        <w:pStyle w:val="Heading2"/>
      </w:pPr>
      <w:r>
        <w:t>Appendix A: Supporting Detail</w:t>
      </w:r>
    </w:p>
    <w:p>
      <w:pPr>
        <w:jc w:val="both"/>
      </w:pPr>
      <w:r>
        <w:t>Use this appendix for detailed market research, customer survey results, product specifications, quotations from suppliers or any other supporting material that would interrupt the flow of the main plan.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4513"/>
        <w:gridCol w:w="2256"/>
      </w:tblGrid>
      <w:tr>
        <w:trPr>
          <w:tblHeader/>
        </w:trPr>
        <w:tc>
          <w:tcPr>
            <w:tcW w:type="dxa" w:w="2256"/>
            <w:vAlign w:val="center"/>
            <w:shd w:val="clear" w:color="auto" w:fill="1C1917"/>
          </w:tcPr>
          <w:p>
            <w:pPr>
              <w:spacing w:after="0"/>
            </w:pPr>
            <w:r/>
            <w:r>
              <w:rPr>
                <w:b/>
                <w:color w:val="FFFFFF"/>
                <w:sz w:val="19"/>
              </w:rPr>
              <w:t>Item</w:t>
            </w:r>
          </w:p>
        </w:tc>
        <w:tc>
          <w:tcPr>
            <w:tcW w:type="dxa" w:w="4513"/>
            <w:vAlign w:val="center"/>
            <w:shd w:val="clear" w:color="auto" w:fill="1C1917"/>
          </w:tcPr>
          <w:p>
            <w:pPr>
              <w:spacing w:after="0"/>
            </w:pPr>
            <w:r/>
            <w:r>
              <w:rPr>
                <w:b/>
                <w:color w:val="FFFFFF"/>
                <w:sz w:val="19"/>
              </w:rPr>
              <w:t>Detail</w:t>
            </w:r>
          </w:p>
        </w:tc>
        <w:tc>
          <w:tcPr>
            <w:tcW w:type="dxa" w:w="2256"/>
            <w:vAlign w:val="center"/>
            <w:shd w:val="clear" w:color="auto" w:fill="1C1917"/>
          </w:tcPr>
          <w:p>
            <w:pPr>
              <w:spacing w:after="0"/>
            </w:pPr>
            <w:r/>
            <w:r>
              <w:rPr>
                <w:b/>
                <w:color w:val="FFFFFF"/>
                <w:sz w:val="19"/>
              </w:rPr>
              <w:t>Notes</w:t>
            </w:r>
          </w:p>
        </w:tc>
      </w:tr>
      <w:tr>
        <w:tc>
          <w:tcPr>
            <w:tcW w:type="dxa" w:w="2256"/>
            <w:vAlign w:val="center"/>
          </w:tcPr>
          <w:p>
            <w:pPr>
              <w:spacing w:after="0"/>
            </w:pPr>
            <w:r/>
            <w:r>
              <w:rPr>
                <w:sz w:val="19"/>
              </w:rPr>
              <w:t>Item 1</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2</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r>
        <w:tc>
          <w:tcPr>
            <w:tcW w:type="dxa" w:w="2256"/>
            <w:vAlign w:val="center"/>
          </w:tcPr>
          <w:p>
            <w:pPr>
              <w:spacing w:after="0"/>
            </w:pPr>
            <w:r/>
            <w:r>
              <w:rPr>
                <w:sz w:val="19"/>
              </w:rPr>
              <w:t>Item 3</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4</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r>
        <w:tc>
          <w:tcPr>
            <w:tcW w:type="dxa" w:w="2256"/>
            <w:vAlign w:val="center"/>
          </w:tcPr>
          <w:p>
            <w:pPr>
              <w:spacing w:after="0"/>
            </w:pPr>
            <w:r/>
            <w:r>
              <w:rPr>
                <w:sz w:val="19"/>
              </w:rPr>
              <w:t>Item 5</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6</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r>
        <w:tc>
          <w:tcPr>
            <w:tcW w:type="dxa" w:w="2256"/>
            <w:vAlign w:val="center"/>
          </w:tcPr>
          <w:p>
            <w:pPr>
              <w:spacing w:after="0"/>
            </w:pPr>
            <w:r/>
            <w:r>
              <w:rPr>
                <w:sz w:val="19"/>
              </w:rPr>
              <w:t>Item 7</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8</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bl>
    <w:p>
      <w:pPr>
        <w:spacing w:after="80"/>
      </w:pPr>
    </w:p>
    <w:p>
      <w:pPr>
        <w:pStyle w:val="Heading2"/>
      </w:pPr>
      <w:r>
        <w:t>Appendix B: Supporting Detail</w:t>
      </w:r>
    </w:p>
    <w:p>
      <w:pPr>
        <w:jc w:val="both"/>
      </w:pPr>
      <w:r>
        <w:t>Use this appendix for detailed market research, customer survey results, product specifications, quotations from suppliers or any other supporting material that would interrupt the flow of the main plan.</w:t>
      </w:r>
    </w:p>
    <w:tbl>
      <w:tblPr>
        <w:jc w:val="center"/>
        <w:tblLayout w:type="fixed"/>
        <w:tblLook w:firstColumn="1" w:firstRow="1" w:lastColumn="0" w:lastRow="0" w:noHBand="0" w:noVBand="1" w:val="04A0"/>
        <w:tblW w:w="9026" w:type="dxa"/>
        <w:tblLayout w:type="fixed"/>
        <w:tblBorders>
          <w:top w:val="nil"/>
          <w:left w:val="nil"/>
          <w:bottom w:val="nil"/>
          <w:right w:val="nil"/>
          <w:insideH w:val="single" w:sz="4" w:space="0" w:color="CDCCCC"/>
          <w:insideV w:val="nil"/>
        </w:tblBorders>
        <w:tblCellMar>
          <w:top w:w="70" w:type="dxa"/>
          <w:left w:w="110" w:type="dxa"/>
          <w:bottom w:w="70" w:type="dxa"/>
          <w:right w:w="110" w:type="dxa"/>
        </w:tblCellMar>
      </w:tblPr>
      <w:tblGrid>
        <w:gridCol w:w="2256"/>
        <w:gridCol w:w="4513"/>
        <w:gridCol w:w="2256"/>
      </w:tblGrid>
      <w:tr>
        <w:trPr>
          <w:tblHeader/>
        </w:trPr>
        <w:tc>
          <w:tcPr>
            <w:tcW w:type="dxa" w:w="2256"/>
            <w:vAlign w:val="center"/>
            <w:shd w:val="clear" w:color="auto" w:fill="1C1917"/>
          </w:tcPr>
          <w:p>
            <w:pPr>
              <w:spacing w:after="0"/>
            </w:pPr>
            <w:r/>
            <w:r>
              <w:rPr>
                <w:b/>
                <w:color w:val="FFFFFF"/>
                <w:sz w:val="19"/>
              </w:rPr>
              <w:t>Item</w:t>
            </w:r>
          </w:p>
        </w:tc>
        <w:tc>
          <w:tcPr>
            <w:tcW w:type="dxa" w:w="4513"/>
            <w:vAlign w:val="center"/>
            <w:shd w:val="clear" w:color="auto" w:fill="1C1917"/>
          </w:tcPr>
          <w:p>
            <w:pPr>
              <w:spacing w:after="0"/>
            </w:pPr>
            <w:r/>
            <w:r>
              <w:rPr>
                <w:b/>
                <w:color w:val="FFFFFF"/>
                <w:sz w:val="19"/>
              </w:rPr>
              <w:t>Detail</w:t>
            </w:r>
          </w:p>
        </w:tc>
        <w:tc>
          <w:tcPr>
            <w:tcW w:type="dxa" w:w="2256"/>
            <w:vAlign w:val="center"/>
            <w:shd w:val="clear" w:color="auto" w:fill="1C1917"/>
          </w:tcPr>
          <w:p>
            <w:pPr>
              <w:spacing w:after="0"/>
            </w:pPr>
            <w:r/>
            <w:r>
              <w:rPr>
                <w:b/>
                <w:color w:val="FFFFFF"/>
                <w:sz w:val="19"/>
              </w:rPr>
              <w:t>Notes</w:t>
            </w:r>
          </w:p>
        </w:tc>
      </w:tr>
      <w:tr>
        <w:tc>
          <w:tcPr>
            <w:tcW w:type="dxa" w:w="2256"/>
            <w:vAlign w:val="center"/>
          </w:tcPr>
          <w:p>
            <w:pPr>
              <w:spacing w:after="0"/>
            </w:pPr>
            <w:r/>
            <w:r>
              <w:rPr>
                <w:sz w:val="19"/>
              </w:rPr>
              <w:t>Item 1</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2</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r>
        <w:tc>
          <w:tcPr>
            <w:tcW w:type="dxa" w:w="2256"/>
            <w:vAlign w:val="center"/>
          </w:tcPr>
          <w:p>
            <w:pPr>
              <w:spacing w:after="0"/>
            </w:pPr>
            <w:r/>
            <w:r>
              <w:rPr>
                <w:sz w:val="19"/>
              </w:rPr>
              <w:t>Item 3</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4</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r>
        <w:tc>
          <w:tcPr>
            <w:tcW w:type="dxa" w:w="2256"/>
            <w:vAlign w:val="center"/>
          </w:tcPr>
          <w:p>
            <w:pPr>
              <w:spacing w:after="0"/>
            </w:pPr>
            <w:r/>
            <w:r>
              <w:rPr>
                <w:sz w:val="19"/>
              </w:rPr>
              <w:t>Item 5</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6</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r>
        <w:tc>
          <w:tcPr>
            <w:tcW w:type="dxa" w:w="2256"/>
            <w:vAlign w:val="center"/>
          </w:tcPr>
          <w:p>
            <w:pPr>
              <w:spacing w:after="0"/>
            </w:pPr>
            <w:r/>
            <w:r>
              <w:rPr>
                <w:sz w:val="19"/>
              </w:rPr>
              <w:t>Item 7</w:t>
            </w:r>
          </w:p>
        </w:tc>
        <w:tc>
          <w:tcPr>
            <w:tcW w:type="dxa" w:w="4513"/>
            <w:vAlign w:val="center"/>
          </w:tcPr>
          <w:p>
            <w:pPr>
              <w:spacing w:after="0"/>
            </w:pPr>
            <w:r/>
            <w:r>
              <w:rPr>
                <w:sz w:val="19"/>
              </w:rPr>
              <w:t>Supporting information</w:t>
            </w:r>
          </w:p>
        </w:tc>
        <w:tc>
          <w:tcPr>
            <w:tcW w:type="dxa" w:w="2256"/>
            <w:vAlign w:val="center"/>
          </w:tcPr>
          <w:p>
            <w:pPr>
              <w:spacing w:after="0"/>
            </w:pPr>
            <w:r/>
            <w:r>
              <w:rPr>
                <w:sz w:val="19"/>
              </w:rPr>
              <w:t>—</w:t>
            </w:r>
          </w:p>
        </w:tc>
      </w:tr>
      <w:tr>
        <w:tc>
          <w:tcPr>
            <w:tcW w:type="dxa" w:w="2256"/>
            <w:vAlign w:val="center"/>
            <w:shd w:val="clear" w:color="auto" w:fill="F6EFE6"/>
          </w:tcPr>
          <w:p>
            <w:pPr>
              <w:spacing w:after="0"/>
            </w:pPr>
            <w:r/>
            <w:r>
              <w:rPr>
                <w:sz w:val="19"/>
              </w:rPr>
              <w:t>Item 8</w:t>
            </w:r>
          </w:p>
        </w:tc>
        <w:tc>
          <w:tcPr>
            <w:tcW w:type="dxa" w:w="4513"/>
            <w:vAlign w:val="center"/>
            <w:shd w:val="clear" w:color="auto" w:fill="F6EFE6"/>
          </w:tcPr>
          <w:p>
            <w:pPr>
              <w:spacing w:after="0"/>
            </w:pPr>
            <w:r/>
            <w:r>
              <w:rPr>
                <w:sz w:val="19"/>
              </w:rPr>
              <w:t>Supporting information</w:t>
            </w:r>
          </w:p>
        </w:tc>
        <w:tc>
          <w:tcPr>
            <w:tcW w:type="dxa" w:w="2256"/>
            <w:vAlign w:val="center"/>
            <w:shd w:val="clear" w:color="auto" w:fill="F6EFE6"/>
          </w:tcPr>
          <w:p>
            <w:pPr>
              <w:spacing w:after="0"/>
            </w:pPr>
            <w:r/>
            <w:r>
              <w:rPr>
                <w:sz w:val="19"/>
              </w:rPr>
              <w:t>—</w:t>
            </w:r>
          </w:p>
        </w:tc>
      </w:tr>
    </w:tbl>
    <w:p>
      <w:pPr>
        <w:spacing w:after="80"/>
      </w:pPr>
    </w:p>
    <w:sectPr w:rsidR="00FC693F" w:rsidRPr="0006063C" w:rsidSect="00034616">
      <w:headerReference w:type="default" r:id="rId9"/>
      <w:footerReference w:type="default" r:id="rId10"/>
      <w:pgSz w:w="11906" w:h="16838"/>
      <w:pgMar w:top="1368" w:right="1440" w:bottom="1368" w:left="1440"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
      <w:rPr>
        <w:color w:val="72706F"/>
        <w:sz w:val="18"/>
      </w:rPr>
      <w:t xml:space="preserve">Page </w:t>
    </w:r>
    <w:r>
      <w:rPr>
        <w:color w:val="72706F"/>
        <w:sz w:val="18"/>
      </w:rPr>
      <w:fldChar w:fldCharType="begin"/>
    </w:r>
    <w:r>
      <w:rPr>
        <w:color w:val="72706F"/>
        <w:sz w:val="18"/>
      </w:rPr>
      <w:instrText xml:space="preserve"> PAGE </w:instrText>
    </w:r>
    <w:r>
      <w:rPr>
        <w:color w:val="72706F"/>
        <w:sz w:val="18"/>
      </w:rPr>
      <w:fldChar w:fldCharType="separate"/>
    </w:r>
    <w:r>
      <w:rPr>
        <w:color w:val="72706F"/>
        <w:sz w:val="18"/>
      </w:rPr>
      <w:t>1</w:t>
    </w:r>
    <w:r>
      <w:rPr>
        <w:color w:val="72706F"/>
        <w:sz w:val="18"/>
      </w:rPr>
      <w:fldChar w:fldCharType="end"/>
    </w:r>
    <w:r>
      <w:rPr>
        <w:color w:val="72706F"/>
        <w:sz w:val="18"/>
      </w:rPr>
      <w:t xml:space="preserve"> of </w:t>
    </w:r>
    <w:r>
      <w:rPr>
        <w:color w:val="72706F"/>
        <w:sz w:val="18"/>
      </w:rPr>
      <w:fldChar w:fldCharType="begin"/>
    </w:r>
    <w:r>
      <w:rPr>
        <w:color w:val="72706F"/>
        <w:sz w:val="18"/>
      </w:rPr>
      <w:instrText xml:space="preserve"> NUMPAGES </w:instrText>
    </w:r>
    <w:r>
      <w:rPr>
        <w:color w:val="72706F"/>
        <w:sz w:val="18"/>
      </w:rPr>
      <w:fldChar w:fldCharType="separate"/>
    </w:r>
    <w:r>
      <w:rPr>
        <w:color w:val="72706F"/>
        <w:sz w:val="18"/>
      </w:rPr>
      <w:t>1</w:t>
    </w:r>
    <w:r>
      <w:rPr>
        <w:color w:val="72706F"/>
        <w:sz w:val="18"/>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026" w:val="right"/>
      </w:tabs>
      <w:pBdr>
        <w:bottom w:val="single" w:sz="4" w:space="6" w:color="CDCCCC"/>
      </w:pBdr>
    </w:pPr>
    <w:r/>
    <w:r>
      <w:rPr>
        <w:caps w:val="0"/>
        <w:color w:val="72706F"/>
        <w:sz w:val="17"/>
      </w:rPr>
      <w:t>GreenCart Organics · Business Plan</w:t>
    </w:r>
    <w:r>
      <w:rPr>
        <w:color w:val="72706F"/>
        <w:sz w:val="17"/>
      </w:rPr>
      <w:tab/>
      <w:t>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C191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outlineLvl w:val="0"/>
    </w:pPr>
    <w:rPr>
      <w:rFonts w:ascii="Poppins" w:hAnsi="Poppins" w:cs="Poppins" w:eastAsia="Poppins"/>
      <w:b/>
      <w:bCs/>
      <w:i w:val="0"/>
      <w:color w:val="1C1917"/>
      <w:sz w:val="48"/>
      <w:szCs w:val="48"/>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A1620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C191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C191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72706F"/>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iCs/>
      <w:color w:val="1C191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72706F"/>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026" w:val="right" w:leader="dot"/>
      </w:tabs>
      <w:spacing w:after="120"/>
      <w:ind w:left="0"/>
    </w:pPr>
    <w:rPr>
      <w:rFonts w:ascii="Poppins" w:hAnsi="Poppins" w:cs="Poppins" w:eastAsia="Poppins"/>
      <w:b/>
      <w:sz w:val="23"/>
      <w:szCs w:val="23"/>
    </w:rPr>
  </w:style>
  <w:style w:type="paragraph" w:customStyle="1" w:styleId="TOC2">
    <w:name w:val="TOC 2"/>
    <w:basedOn w:val="Normal"/>
    <w:pPr>
      <w:tabs>
        <w:tab w:pos="9026"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