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double" w:sz="12" w:space="0" w:color="065F46"/>
          <w:left w:val="double" w:sz="12" w:space="0" w:color="065F46"/>
          <w:bottom w:val="double" w:sz="12" w:space="0" w:color="065F46"/>
          <w:right w:val="double" w:sz="12" w:space="0" w:color="065F46"/>
        </w:tblBorders>
        <w:tblCellMar>
          <w:top w:w="300" w:type="dxa"/>
          <w:left w:w="600" w:type="dxa"/>
          <w:bottom w:w="300" w:type="dxa"/>
          <w:right w:w="600" w:type="dxa"/>
        </w:tblCellMar>
      </w:tblPr>
      <w:tblGrid>
        <w:gridCol w:w="9639"/>
      </w:tblGrid>
      <w:tr>
        <w:trPr>
          <w:trHeight w:val="14287" w:hRule="exact"/>
        </w:trPr>
        <w:tc>
          <w:tcPr>
            <w:tcW w:type="dxa" w:w="9638"/>
            <w:vAlign w:val="center"/>
          </w:tcPr>
          <w:p>
            <w:pPr>
              <w:spacing w:after="480"/>
              <w:jc w:val="center"/>
            </w:pPr>
            <w:r>
              <w:rPr>
                <w:b/>
                <w:i w:val="0"/>
                <w:caps/>
                <w:color w:val="065F46"/>
                <w:sz w:val="20"/>
                <w:spacing w:val="60"/>
              </w:rPr>
              <w:t>Business Plan 2026–2029</w:t>
            </w:r>
          </w:p>
          <w:p>
            <w:pPr>
              <w:pStyle w:val="Title"/>
              <w:jc w:val="center"/>
            </w:pPr>
            <w:r>
              <w:t>SkillSetu Learning</w:t>
            </w:r>
          </w:p>
          <w:p>
            <w:pPr>
              <w:jc w:val="center"/>
            </w:pPr>
            <w:r>
              <w:rPr>
                <w:b/>
                <w:i w:val="0"/>
                <w:color w:val="065F46"/>
                <w:sz w:val="28"/>
              </w:rPr>
              <w:t>———</w:t>
            </w:r>
          </w:p>
          <w:p>
            <w:pPr>
              <w:spacing w:after="1200"/>
              <w:jc w:val="center"/>
            </w:pPr>
            <w:r>
              <w:rPr>
                <w:b w:val="0"/>
                <w:i w:val="0"/>
                <w:color w:val="6F7581"/>
                <w:sz w:val="26"/>
              </w:rPr>
              <w:t>Job-ready digital skills for tier-2 city graduates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6F7581"/>
                <w:sz w:val="16"/>
                <w:spacing w:val="30"/>
              </w:rPr>
              <w:t>PREPARED BY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72033"/>
                <w:sz w:val="22"/>
              </w:rPr>
              <w:t>Nisha Choudhary and team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6F7581"/>
                <w:sz w:val="16"/>
                <w:spacing w:val="30"/>
              </w:rPr>
              <w:t>VERSION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72033"/>
                <w:sz w:val="22"/>
              </w:rPr>
              <w:t>1.0 · Confidential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6F7581"/>
                <w:sz w:val="16"/>
                <w:spacing w:val="30"/>
              </w:rPr>
              <w:t>CITY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72033"/>
                <w:sz w:val="22"/>
              </w:rPr>
              <w:t>Indore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Executive Summary</w:t>
      </w:r>
      <w:r>
        <w:tab/>
        <w:t>2</w:t>
      </w:r>
    </w:p>
    <w:p>
      <w:pPr>
        <w:pStyle w:val="TOC1"/>
      </w:pPr>
      <w:r>
        <w:t>02  Company Overview</w:t>
      </w:r>
      <w:r>
        <w:tab/>
        <w:t>3</w:t>
      </w:r>
    </w:p>
    <w:p>
      <w:pPr>
        <w:pStyle w:val="TOC2"/>
      </w:pPr>
      <w:r>
        <w:t>Mission</w:t>
      </w:r>
      <w:r>
        <w:tab/>
        <w:t>3</w:t>
      </w:r>
    </w:p>
    <w:p>
      <w:pPr>
        <w:pStyle w:val="TOC2"/>
      </w:pPr>
      <w:r>
        <w:t>Products and Services</w:t>
      </w:r>
      <w:r>
        <w:tab/>
        <w:t>3</w:t>
      </w:r>
    </w:p>
    <w:p>
      <w:pPr>
        <w:pStyle w:val="TOC2"/>
      </w:pPr>
      <w:r>
        <w:t>Legal Structure and Location</w:t>
      </w:r>
      <w:r>
        <w:tab/>
        <w:t>3</w:t>
      </w:r>
    </w:p>
    <w:p>
      <w:pPr>
        <w:pStyle w:val="TOC1"/>
      </w:pPr>
      <w:r>
        <w:t>03  Market Analysis</w:t>
      </w:r>
      <w:r>
        <w:tab/>
        <w:t>3</w:t>
      </w:r>
    </w:p>
    <w:p>
      <w:pPr>
        <w:pStyle w:val="TOC2"/>
      </w:pPr>
      <w:r>
        <w:t>Industry Overview</w:t>
      </w:r>
      <w:r>
        <w:tab/>
        <w:t>3</w:t>
      </w:r>
    </w:p>
    <w:p>
      <w:pPr>
        <w:pStyle w:val="TOC2"/>
      </w:pPr>
      <w:r>
        <w:t>Target Customers</w:t>
      </w:r>
      <w:r>
        <w:tab/>
        <w:t>3</w:t>
      </w:r>
    </w:p>
    <w:p>
      <w:pPr>
        <w:pStyle w:val="TOC2"/>
      </w:pPr>
      <w:r>
        <w:t>Competition</w:t>
      </w:r>
      <w:r>
        <w:tab/>
        <w:t>4</w:t>
      </w:r>
    </w:p>
    <w:p>
      <w:pPr>
        <w:pStyle w:val="TOC2"/>
      </w:pPr>
      <w:r>
        <w:t>SWOT Analysis</w:t>
      </w:r>
      <w:r>
        <w:tab/>
        <w:t>4</w:t>
      </w:r>
    </w:p>
    <w:p>
      <w:pPr>
        <w:pStyle w:val="TOC1"/>
      </w:pPr>
      <w:r>
        <w:t>04  Marketing and Sales Strategy</w:t>
      </w:r>
      <w:r>
        <w:tab/>
        <w:t>4</w:t>
      </w:r>
    </w:p>
    <w:p>
      <w:pPr>
        <w:pStyle w:val="TOC1"/>
      </w:pPr>
      <w:r>
        <w:t>05  Operations Plan</w:t>
      </w:r>
      <w:r>
        <w:tab/>
        <w:t>4</w:t>
      </w:r>
    </w:p>
    <w:p>
      <w:pPr>
        <w:pStyle w:val="TOC1"/>
      </w:pPr>
      <w:r>
        <w:t>06  Management Team</w:t>
      </w:r>
      <w:r>
        <w:tab/>
        <w:t>5</w:t>
      </w:r>
    </w:p>
    <w:p>
      <w:pPr>
        <w:pStyle w:val="TOC1"/>
      </w:pPr>
      <w:r>
        <w:t>07  Financial Plan</w:t>
      </w:r>
      <w:r>
        <w:tab/>
        <w:t>5</w:t>
      </w:r>
    </w:p>
    <w:p>
      <w:pPr>
        <w:pStyle w:val="TOC2"/>
      </w:pPr>
      <w:r>
        <w:t>Funding Requirement</w:t>
      </w:r>
      <w:r>
        <w:tab/>
        <w:t>5</w:t>
      </w:r>
    </w:p>
    <w:p>
      <w:pPr>
        <w:pStyle w:val="TOC1"/>
      </w:pPr>
      <w:r>
        <w:t>08  Risks and Mitigation</w:t>
      </w:r>
      <w:r>
        <w:tab/>
        <w:t>5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Executive Summary</w:t>
      </w:r>
    </w:p>
    <w:p>
      <w:pPr>
        <w:jc w:val="both"/>
      </w:pPr>
      <w:r>
        <w:t>SkillSetu Learning runs blended courses in data analysis, digital marketing and accounting software for graduates in tier-2 cities, with weekend classroom labs and placement support from local employers.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6EFEC"/>
            <w:tcBorders>
              <w:left w:val="single" w:sz="36" w:space="0" w:color="065F46"/>
            </w:tcBorders>
          </w:tcPr>
          <w:p>
            <w:pPr>
              <w:spacing w:after="60"/>
            </w:pPr>
            <w:r>
              <w:rPr>
                <w:b/>
                <w:color w:val="065F46"/>
              </w:rPr>
              <w:t>The opportunity</w:t>
            </w:r>
          </w:p>
          <w:p>
            <w:pPr>
              <w:spacing w:after="0"/>
            </w:pPr>
            <w:r>
              <w:t>Many graduates in smaller cities lack practical skills employers want, while companies struggle to hire locally. Affordable, hands-on training with placement links bridges that gap.</w:t>
            </w:r>
          </w:p>
        </w:tc>
      </w:tr>
    </w:tbl>
    <w:p>
      <w:pPr>
        <w:spacing w:after="40"/>
      </w:pP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381"/>
        <w:gridCol w:w="2628"/>
        <w:gridCol w:w="2628"/>
      </w:tblGrid>
      <w:tr>
        <w:trPr>
          <w:tblHeader/>
        </w:trPr>
        <w:tc>
          <w:tcPr>
            <w:tcW w:type="dxa" w:w="4381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Key figure (sample)</w:t>
            </w:r>
          </w:p>
        </w:tc>
        <w:tc>
          <w:tcPr>
            <w:tcW w:type="dxa" w:w="2628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Year 1</w:t>
            </w:r>
          </w:p>
        </w:tc>
        <w:tc>
          <w:tcPr>
            <w:tcW w:type="dxa" w:w="2628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Year 3</w:t>
            </w:r>
          </w:p>
        </w:tc>
      </w:tr>
      <w:tr>
        <w:tc>
          <w:tcPr>
            <w:tcW w:type="dxa" w:w="438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Learners trained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600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5,000</w:t>
            </w:r>
          </w:p>
        </w:tc>
      </w:tr>
      <w:tr>
        <w:tc>
          <w:tcPr>
            <w:tcW w:type="dxa" w:w="4381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Placement rate (target)</w:t>
            </w:r>
          </w:p>
        </w:tc>
        <w:tc>
          <w:tcPr>
            <w:tcW w:type="dxa" w:w="2628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60%</w:t>
            </w:r>
          </w:p>
        </w:tc>
        <w:tc>
          <w:tcPr>
            <w:tcW w:type="dxa" w:w="2628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70%</w:t>
            </w:r>
          </w:p>
        </w:tc>
      </w:tr>
      <w:tr>
        <w:tc>
          <w:tcPr>
            <w:tcW w:type="dxa" w:w="438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Revenue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₹0.9 Cr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₹6.2 Cr</w:t>
            </w:r>
          </w:p>
        </w:tc>
      </w:tr>
      <w:tr>
        <w:tc>
          <w:tcPr>
            <w:tcW w:type="dxa" w:w="4381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Centres</w:t>
            </w:r>
          </w:p>
        </w:tc>
        <w:tc>
          <w:tcPr>
            <w:tcW w:type="dxa" w:w="2628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2628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</w:tr>
    </w:tbl>
    <w:p>
      <w:pPr>
        <w:spacing w:after="80"/>
      </w:pPr>
    </w:p>
    <w:p>
      <w:pPr>
        <w:pStyle w:val="Caption"/>
      </w:pPr>
      <w:r>
        <w:t>All projections in this plan are illustrative sample figures.</w:t>
      </w:r>
    </w:p>
    <w:p>
      <w:pPr>
        <w:pStyle w:val="Heading1"/>
      </w:pPr>
      <w:r>
        <w:t>02  Company Overview</w:t>
      </w:r>
    </w:p>
    <w:p>
      <w:pPr>
        <w:pStyle w:val="Heading2"/>
      </w:pPr>
      <w:r>
        <w:t>Mission</w:t>
      </w:r>
    </w:p>
    <w:p>
      <w:pPr>
        <w:jc w:val="both"/>
      </w:pPr>
      <w:r>
        <w:t>To help every graduate in a smaller city get a good job without moving to a metro.</w:t>
      </w:r>
    </w:p>
    <w:p>
      <w:pPr>
        <w:pStyle w:val="Heading2"/>
      </w:pPr>
      <w:r>
        <w:t>Products and Services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4985"/>
        <w:gridCol w:w="1994"/>
      </w:tblGrid>
      <w:tr>
        <w:trPr>
          <w:tblHeader/>
        </w:trPr>
        <w:tc>
          <w:tcPr>
            <w:tcW w:type="dxa" w:w="265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Offering</w:t>
            </w:r>
          </w:p>
        </w:tc>
        <w:tc>
          <w:tcPr>
            <w:tcW w:type="dxa" w:w="4985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99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Price (sample)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Data analysis with Excel and SQL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12-week course with projects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₹18,000</w:t>
            </w:r>
          </w:p>
        </w:tc>
      </w:tr>
      <w:tr>
        <w:tc>
          <w:tcPr>
            <w:tcW w:type="dxa" w:w="265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Digital marketing</w:t>
            </w:r>
          </w:p>
        </w:tc>
        <w:tc>
          <w:tcPr>
            <w:tcW w:type="dxa" w:w="498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10-week course with live campaigns</w:t>
            </w:r>
          </w:p>
        </w:tc>
        <w:tc>
          <w:tcPr>
            <w:tcW w:type="dxa" w:w="199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₹15,000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Accounting with Tally and GST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8-week course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₹9,000</w:t>
            </w:r>
          </w:p>
        </w:tc>
      </w:tr>
      <w:tr>
        <w:tc>
          <w:tcPr>
            <w:tcW w:type="dxa" w:w="265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Corporate upskilling</w:t>
            </w:r>
          </w:p>
        </w:tc>
        <w:tc>
          <w:tcPr>
            <w:tcW w:type="dxa" w:w="498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Custom batches for local companies</w:t>
            </w:r>
          </w:p>
        </w:tc>
        <w:tc>
          <w:tcPr>
            <w:tcW w:type="dxa" w:w="199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On quote</w:t>
            </w:r>
          </w:p>
        </w:tc>
      </w:tr>
    </w:tbl>
    <w:p>
      <w:pPr>
        <w:spacing w:after="80"/>
      </w:pPr>
    </w:p>
    <w:p>
      <w:pPr>
        <w:pStyle w:val="Heading2"/>
      </w:pPr>
      <w:r>
        <w:t>Legal Structure and Location</w:t>
      </w:r>
    </w:p>
    <w:p>
      <w:pPr>
        <w:jc w:val="both"/>
      </w:pPr>
      <w:r>
        <w:t>Registered as a private limited company, with the first centre in Indore and a partnership model for colleges.</w:t>
      </w:r>
    </w:p>
    <w:p>
      <w:pPr>
        <w:pStyle w:val="Heading1"/>
      </w:pPr>
      <w:r>
        <w:t>03  Market Analysis</w:t>
      </w:r>
    </w:p>
    <w:p>
      <w:pPr>
        <w:pStyle w:val="Heading2"/>
      </w:pPr>
      <w:r>
        <w:t>Industry Overview</w:t>
      </w:r>
    </w:p>
    <w:p>
      <w:pPr>
        <w:jc w:val="both"/>
      </w:pPr>
      <w:r>
        <w:t>Online courses have high drop-out rates in smaller cities. Blended learning with classroom support keeps learners engaged and builds employer trust.</w:t>
      </w:r>
    </w:p>
    <w:p>
      <w:pPr>
        <w:pStyle w:val="Heading2"/>
      </w:pPr>
      <w:r>
        <w:t>Target Customers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42"/>
        <w:gridCol w:w="5712"/>
        <w:gridCol w:w="1785"/>
      </w:tblGrid>
      <w:tr>
        <w:trPr>
          <w:tblHeader/>
        </w:trPr>
        <w:tc>
          <w:tcPr>
            <w:tcW w:type="dxa" w:w="2142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Segment</w:t>
            </w:r>
          </w:p>
        </w:tc>
        <w:tc>
          <w:tcPr>
            <w:tcW w:type="dxa" w:w="5711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785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Priority</w:t>
            </w:r>
          </w:p>
        </w:tc>
      </w:tr>
      <w:tr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Final-year students</w:t>
            </w:r>
          </w:p>
        </w:tc>
        <w:tc>
          <w:tcPr>
            <w:tcW w:type="dxa" w:w="571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Want job-ready skills</w:t>
            </w:r>
          </w:p>
        </w:tc>
        <w:tc>
          <w:tcPr>
            <w:tcW w:type="dxa" w:w="17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High</w:t>
            </w:r>
          </w:p>
        </w:tc>
      </w:tr>
      <w:tr>
        <w:tc>
          <w:tcPr>
            <w:tcW w:type="dxa" w:w="2142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Recent graduates</w:t>
            </w:r>
          </w:p>
        </w:tc>
        <w:tc>
          <w:tcPr>
            <w:tcW w:type="dxa" w:w="5711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Seeking first job</w:t>
            </w:r>
          </w:p>
        </w:tc>
        <w:tc>
          <w:tcPr>
            <w:tcW w:type="dxa" w:w="178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High</w:t>
            </w:r>
          </w:p>
        </w:tc>
      </w:tr>
      <w:tr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Local companies</w:t>
            </w:r>
          </w:p>
        </w:tc>
        <w:tc>
          <w:tcPr>
            <w:tcW w:type="dxa" w:w="571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Need trained staff</w:t>
            </w:r>
          </w:p>
        </w:tc>
        <w:tc>
          <w:tcPr>
            <w:tcW w:type="dxa" w:w="17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</w:tr>
    </w:tbl>
    <w:p>
      <w:pPr>
        <w:spacing w:after="80"/>
      </w:pPr>
    </w:p>
    <w:p>
      <w:pPr>
        <w:pStyle w:val="Heading2"/>
      </w:pPr>
      <w:r>
        <w:t>Competition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3323"/>
        <w:gridCol w:w="3656"/>
      </w:tblGrid>
      <w:tr>
        <w:trPr>
          <w:tblHeader/>
        </w:trPr>
        <w:tc>
          <w:tcPr>
            <w:tcW w:type="dxa" w:w="265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Competitor type</w:t>
            </w:r>
          </w:p>
        </w:tc>
        <w:tc>
          <w:tcPr>
            <w:tcW w:type="dxa" w:w="3323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Strength</w:t>
            </w:r>
          </w:p>
        </w:tc>
        <w:tc>
          <w:tcPr>
            <w:tcW w:type="dxa" w:w="365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Our advantage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Online course platforms</w:t>
            </w:r>
          </w:p>
        </w:tc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Scale, low price</w:t>
            </w:r>
          </w:p>
        </w:tc>
        <w:tc>
          <w:tcPr>
            <w:tcW w:type="dxa" w:w="36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Classroom labs and local placements</w:t>
            </w:r>
          </w:p>
        </w:tc>
      </w:tr>
      <w:tr>
        <w:tc>
          <w:tcPr>
            <w:tcW w:type="dxa" w:w="265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Local coaching centres</w:t>
            </w:r>
          </w:p>
        </w:tc>
        <w:tc>
          <w:tcPr>
            <w:tcW w:type="dxa" w:w="3323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Familiar</w:t>
            </w:r>
          </w:p>
        </w:tc>
        <w:tc>
          <w:tcPr>
            <w:tcW w:type="dxa" w:w="3656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Updated curriculum, projects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College programmes</w:t>
            </w:r>
          </w:p>
        </w:tc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Free</w:t>
            </w:r>
          </w:p>
        </w:tc>
        <w:tc>
          <w:tcPr>
            <w:tcW w:type="dxa" w:w="36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Practical focus, employer links</w:t>
            </w:r>
          </w:p>
        </w:tc>
      </w:tr>
    </w:tbl>
    <w:p>
      <w:pPr>
        <w:spacing w:after="80"/>
      </w:pPr>
    </w:p>
    <w:p>
      <w:pPr>
        <w:pStyle w:val="Heading2"/>
      </w:pPr>
      <w:r>
        <w:t>SWOT Analysis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E6EFEC"/>
          </w:tcPr>
          <w:p>
            <w:r>
              <w:rPr>
                <w:b/>
                <w:color w:val="065F46"/>
              </w:rPr>
              <w:t>Strengths</w:t>
            </w:r>
          </w:p>
          <w:p>
            <w:pPr>
              <w:spacing w:after="40"/>
            </w:pPr>
            <w:r>
              <w:t>• Employer network</w:t>
            </w:r>
          </w:p>
          <w:p>
            <w:pPr>
              <w:spacing w:after="40"/>
            </w:pPr>
            <w:r>
              <w:t>• Project-based curriculum</w:t>
            </w:r>
          </w:p>
        </w:tc>
        <w:tc>
          <w:tcPr>
            <w:tcW w:type="dxa" w:w="4819"/>
            <w:shd w:val="clear" w:color="auto" w:fill="C8DCD6"/>
          </w:tcPr>
          <w:p>
            <w:r>
              <w:rPr>
                <w:b/>
                <w:color w:val="065F46"/>
              </w:rPr>
              <w:t>Weaknesses</w:t>
            </w:r>
          </w:p>
          <w:p>
            <w:pPr>
              <w:spacing w:after="40"/>
            </w:pPr>
            <w:r>
              <w:t>• Single centre</w:t>
            </w:r>
          </w:p>
          <w:p>
            <w:pPr>
              <w:spacing w:after="40"/>
            </w:pPr>
            <w:r>
              <w:t>• Brand awareness</w:t>
            </w:r>
          </w:p>
        </w:tc>
      </w:tr>
      <w:tr>
        <w:tc>
          <w:tcPr>
            <w:tcW w:type="dxa" w:w="4819"/>
            <w:shd w:val="clear" w:color="auto" w:fill="C8DCD6"/>
          </w:tcPr>
          <w:p>
            <w:r>
              <w:rPr>
                <w:b/>
                <w:color w:val="065F46"/>
              </w:rPr>
              <w:t>Opportunities</w:t>
            </w:r>
          </w:p>
          <w:p>
            <w:pPr>
              <w:spacing w:after="40"/>
            </w:pPr>
            <w:r>
              <w:t>• College partnerships</w:t>
            </w:r>
          </w:p>
          <w:p>
            <w:pPr>
              <w:spacing w:after="40"/>
            </w:pPr>
            <w:r>
              <w:t>• Government skilling schemes</w:t>
            </w:r>
          </w:p>
        </w:tc>
        <w:tc>
          <w:tcPr>
            <w:tcW w:type="dxa" w:w="4819"/>
            <w:shd w:val="clear" w:color="auto" w:fill="E6EFEC"/>
          </w:tcPr>
          <w:p>
            <w:r>
              <w:rPr>
                <w:b/>
                <w:color w:val="065F46"/>
              </w:rPr>
              <w:t>Threats</w:t>
            </w:r>
          </w:p>
          <w:p>
            <w:pPr>
              <w:spacing w:after="40"/>
            </w:pPr>
            <w:r>
              <w:t>• Price competition</w:t>
            </w:r>
          </w:p>
          <w:p>
            <w:pPr>
              <w:spacing w:after="40"/>
            </w:pPr>
            <w:r>
              <w:t>• Economic slowdown</w:t>
            </w:r>
          </w:p>
        </w:tc>
      </w:tr>
    </w:tbl>
    <w:p/>
    <w:p>
      <w:pPr>
        <w:pStyle w:val="Heading1"/>
      </w:pPr>
      <w:r>
        <w:t>04  Marketing and Sales Strategy</w:t>
      </w:r>
    </w:p>
    <w:p>
      <w:pPr>
        <w:jc w:val="both"/>
      </w:pPr>
      <w:r>
        <w:t>We grow through college partnerships, alumni success stories and free weekend workshops that let learners try before enrolling.</w:t>
      </w:r>
    </w:p>
    <w:p>
      <w:pPr>
        <w:pStyle w:val="ListBullet"/>
      </w:pPr>
      <w:r>
        <w:t>College placement cells</w:t>
      </w:r>
    </w:p>
    <w:p>
      <w:pPr>
        <w:pStyle w:val="ListBullet"/>
      </w:pPr>
      <w:r>
        <w:t>Free weekend workshops</w:t>
      </w:r>
    </w:p>
    <w:p>
      <w:pPr>
        <w:pStyle w:val="ListBullet"/>
      </w:pPr>
      <w:r>
        <w:t>Alumni referrals</w:t>
      </w:r>
    </w:p>
    <w:p>
      <w:pPr>
        <w:pStyle w:val="ListBullet"/>
      </w:pPr>
      <w:r>
        <w:t>Local social media groups</w:t>
      </w:r>
    </w:p>
    <w:p>
      <w:pPr>
        <w:pStyle w:val="Heading1"/>
      </w:pPr>
      <w:r>
        <w:t>05  Operations Plan</w:t>
      </w:r>
    </w:p>
    <w:p>
      <w:pPr>
        <w:jc w:val="both"/>
      </w:pPr>
      <w:r>
        <w:t>Each course combines online modules with weekend labs. Trainers are industry practitioners; a placement team works with 60 local employers.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19"/>
        <w:gridCol w:w="2065"/>
        <w:gridCol w:w="2754"/>
      </w:tblGrid>
      <w:tr>
        <w:trPr>
          <w:tblHeader/>
        </w:trPr>
        <w:tc>
          <w:tcPr>
            <w:tcW w:type="dxa" w:w="481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Milestone</w:t>
            </w:r>
          </w:p>
        </w:tc>
        <w:tc>
          <w:tcPr>
            <w:tcW w:type="dxa" w:w="2065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 date</w:t>
            </w:r>
          </w:p>
        </w:tc>
        <w:tc>
          <w:tcPr>
            <w:tcW w:type="dxa" w:w="275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Owner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Indore centre launch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Q2 2026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Founders</w:t>
            </w:r>
          </w:p>
        </w:tc>
      </w:tr>
      <w:tr>
        <w:tc>
          <w:tcPr>
            <w:tcW w:type="dxa" w:w="481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First placement drive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Q4 2026</w:t>
            </w:r>
          </w:p>
        </w:tc>
        <w:tc>
          <w:tcPr>
            <w:tcW w:type="dxa" w:w="275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Placements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Bhopal and Ujjain centres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Q2 2027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Operations</w:t>
            </w:r>
          </w:p>
        </w:tc>
      </w:tr>
      <w:tr>
        <w:tc>
          <w:tcPr>
            <w:tcW w:type="dxa" w:w="4819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6 centres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Q1 2029</w:t>
            </w:r>
          </w:p>
        </w:tc>
        <w:tc>
          <w:tcPr>
            <w:tcW w:type="dxa" w:w="275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Founders</w:t>
            </w:r>
          </w:p>
        </w:tc>
      </w:tr>
    </w:tbl>
    <w:p>
      <w:pPr>
        <w:spacing w:after="80"/>
      </w:pPr>
    </w:p>
    <w:p>
      <w:pPr>
        <w:pStyle w:val="Heading1"/>
      </w:pPr>
      <w:r>
        <w:t>06  Management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26"/>
        <w:gridCol w:w="2326"/>
        <w:gridCol w:w="4985"/>
      </w:tblGrid>
      <w:tr>
        <w:trPr>
          <w:tblHeader/>
        </w:trPr>
        <w:tc>
          <w:tcPr>
            <w:tcW w:type="dxa" w:w="232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32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4985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Background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Nisha Choudhary</w:t>
            </w:r>
          </w:p>
        </w:tc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Founder &amp; CEO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8 years in corporate training</w:t>
            </w:r>
          </w:p>
        </w:tc>
      </w:tr>
      <w:tr>
        <w:tc>
          <w:tcPr>
            <w:tcW w:type="dxa" w:w="2326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Amit Dubey</w:t>
            </w:r>
          </w:p>
        </w:tc>
        <w:tc>
          <w:tcPr>
            <w:tcW w:type="dxa" w:w="2326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Head of curriculum</w:t>
            </w:r>
          </w:p>
        </w:tc>
        <w:tc>
          <w:tcPr>
            <w:tcW w:type="dxa" w:w="498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Data analyst turned educator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Farhan Ali</w:t>
            </w:r>
          </w:p>
        </w:tc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Placements lead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HR professional with local employer network</w:t>
            </w:r>
          </w:p>
        </w:tc>
      </w:tr>
    </w:tbl>
    <w:p>
      <w:pPr>
        <w:spacing w:after="80"/>
      </w:pPr>
    </w:p>
    <w:p>
      <w:pPr>
        <w:pStyle w:val="Heading1"/>
      </w:pPr>
      <w:r>
        <w:t>07  Financial Plan</w:t>
      </w:r>
    </w:p>
    <w:p>
      <w:pPr>
        <w:jc w:val="both"/>
      </w:pPr>
      <w:r>
        <w:t>The projections below are sample figures that show the structure of a financial plan. Replace them with your own estimates and assumptions.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2065"/>
        <w:gridCol w:w="2065"/>
        <w:gridCol w:w="2065"/>
      </w:tblGrid>
      <w:tr>
        <w:trPr>
          <w:tblHeader/>
        </w:trPr>
        <w:tc>
          <w:tcPr>
            <w:tcW w:type="dxa" w:w="3442"/>
            <w:vAlign w:val="center"/>
            <w:shd w:val="clear" w:color="auto" w:fill="172033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(₹ lakh)</w:t>
            </w:r>
          </w:p>
        </w:tc>
        <w:tc>
          <w:tcPr>
            <w:tcW w:type="dxa" w:w="2065"/>
            <w:vAlign w:val="center"/>
            <w:shd w:val="clear" w:color="auto" w:fill="172033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FY 2026–27</w:t>
            </w:r>
          </w:p>
        </w:tc>
        <w:tc>
          <w:tcPr>
            <w:tcW w:type="dxa" w:w="2065"/>
            <w:vAlign w:val="center"/>
            <w:shd w:val="clear" w:color="auto" w:fill="172033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FY 2027–28</w:t>
            </w:r>
          </w:p>
        </w:tc>
        <w:tc>
          <w:tcPr>
            <w:tcW w:type="dxa" w:w="2065"/>
            <w:vAlign w:val="center"/>
            <w:shd w:val="clear" w:color="auto" w:fill="172033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FY 2028–29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Revenue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90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300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620</w:t>
            </w:r>
          </w:p>
        </w:tc>
      </w:tr>
      <w:tr>
        <w:tc>
          <w:tcPr>
            <w:tcW w:type="dxa" w:w="3442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Direct costs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38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120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240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Gross profit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52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180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380</w:t>
            </w:r>
          </w:p>
        </w:tc>
      </w:tr>
      <w:tr>
        <w:tc>
          <w:tcPr>
            <w:tcW w:type="dxa" w:w="3442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Operating expenses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70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150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260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Net profit / (loss)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(18)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120</w:t>
            </w:r>
          </w:p>
        </w:tc>
      </w:tr>
    </w:tbl>
    <w:p>
      <w:pPr>
        <w:spacing w:after="80"/>
      </w:pPr>
    </w:p>
    <w:p>
      <w:pPr>
        <w:pStyle w:val="Heading2"/>
      </w:pPr>
      <w:r>
        <w:t>Funding Requirement</w:t>
      </w:r>
    </w:p>
    <w:p>
      <w:pPr>
        <w:jc w:val="both"/>
      </w:pPr>
      <w:r>
        <w:t>We are seeking ₹1 crore to open three centres, build the learning platform and fund scholarships for low-income learners.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885"/>
        <w:gridCol w:w="2754"/>
      </w:tblGrid>
      <w:tr>
        <w:trPr>
          <w:tblHeader/>
        </w:trPr>
        <w:tc>
          <w:tcPr>
            <w:tcW w:type="dxa" w:w="688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Use of funds</w:t>
            </w:r>
          </w:p>
        </w:tc>
        <w:tc>
          <w:tcPr>
            <w:tcW w:type="dxa" w:w="275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Share</w:t>
            </w:r>
          </w:p>
        </w:tc>
      </w:tr>
      <w:tr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New centres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40%</w:t>
            </w:r>
          </w:p>
        </w:tc>
      </w:tr>
      <w:tr>
        <w:tc>
          <w:tcPr>
            <w:tcW w:type="dxa" w:w="688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Learning platform</w:t>
            </w:r>
          </w:p>
        </w:tc>
        <w:tc>
          <w:tcPr>
            <w:tcW w:type="dxa" w:w="275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25%</w:t>
            </w:r>
          </w:p>
        </w:tc>
      </w:tr>
      <w:tr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Scholarships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15%</w:t>
            </w:r>
          </w:p>
        </w:tc>
      </w:tr>
      <w:tr>
        <w:tc>
          <w:tcPr>
            <w:tcW w:type="dxa" w:w="688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Marketing</w:t>
            </w:r>
          </w:p>
        </w:tc>
        <w:tc>
          <w:tcPr>
            <w:tcW w:type="dxa" w:w="2754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20%</w:t>
            </w:r>
          </w:p>
        </w:tc>
      </w:tr>
    </w:tbl>
    <w:p>
      <w:pPr>
        <w:spacing w:after="80"/>
      </w:pPr>
    </w:p>
    <w:p>
      <w:pPr>
        <w:pStyle w:val="Heading1"/>
      </w:pPr>
      <w:r>
        <w:t>08  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991"/>
        <w:gridCol w:w="1661"/>
        <w:gridCol w:w="4985"/>
      </w:tblGrid>
      <w:tr>
        <w:trPr>
          <w:tblHeader/>
        </w:trPr>
        <w:tc>
          <w:tcPr>
            <w:tcW w:type="dxa" w:w="2991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Risk</w:t>
            </w:r>
          </w:p>
        </w:tc>
        <w:tc>
          <w:tcPr>
            <w:tcW w:type="dxa" w:w="1662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Impact</w:t>
            </w:r>
          </w:p>
        </w:tc>
        <w:tc>
          <w:tcPr>
            <w:tcW w:type="dxa" w:w="4985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Mitigation</w:t>
            </w:r>
          </w:p>
        </w:tc>
      </w:tr>
      <w:tr>
        <w:tc>
          <w:tcPr>
            <w:tcW w:type="dxa" w:w="299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Low placement rates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High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Employer advisory board and project portfolios</w:t>
            </w:r>
          </w:p>
        </w:tc>
      </w:tr>
      <w:tr>
        <w:tc>
          <w:tcPr>
            <w:tcW w:type="dxa" w:w="2991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Trainer availability</w:t>
            </w:r>
          </w:p>
        </w:tc>
        <w:tc>
          <w:tcPr>
            <w:tcW w:type="dxa" w:w="1662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  <w:tc>
          <w:tcPr>
            <w:tcW w:type="dxa" w:w="4985"/>
            <w:vAlign w:val="center"/>
            <w:shd w:val="clear" w:color="auto" w:fill="E6EFEC"/>
          </w:tcPr>
          <w:p>
            <w:pPr>
              <w:spacing w:after="0"/>
            </w:pPr>
            <w:r/>
            <w:r>
              <w:rPr>
                <w:sz w:val="20"/>
              </w:rPr>
              <w:t>Train-the-trainer programme</w:t>
            </w:r>
          </w:p>
        </w:tc>
      </w:tr>
      <w:tr>
        <w:tc>
          <w:tcPr>
            <w:tcW w:type="dxa" w:w="299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Fee affordability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EMI options and scholarships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F7581"/>
        <w:sz w:val="18"/>
      </w:rPr>
      <w:t xml:space="preserve">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  <w:r>
      <w:rPr>
        <w:color w:val="6F7581"/>
        <w:sz w:val="18"/>
      </w:rPr>
      <w:t xml:space="preserve"> of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NUMPAGES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CCED2"/>
      </w:pBdr>
    </w:pPr>
    <w:r/>
    <w:r>
      <w:rPr>
        <w:caps w:val="0"/>
        <w:color w:val="6F7581"/>
        <w:sz w:val="17"/>
      </w:rPr>
      <w:t>SkillSetu Learning · Business Plan</w:t>
    </w:r>
    <w:r>
      <w:rPr>
        <w:color w:val="6F7581"/>
        <w:sz w:val="17"/>
      </w:rPr>
      <w:tab/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72033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C8DCD6"/>
      <w:pBdr>
        <w:left w:val="single" w:sz="36" w:space="8" w:color="065F46"/>
      </w:pBdr>
    </w:pPr>
    <w:rPr>
      <w:rFonts w:ascii="Sora" w:hAnsi="Sora" w:cs="Sora" w:eastAsia="Sora"/>
      <w:b/>
      <w:bCs/>
      <w:i w:val="0"/>
      <w:color w:val="172033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ora" w:hAnsi="Sora" w:cs="Sora" w:eastAsia="Sora"/>
      <w:b/>
      <w:bCs/>
      <w:i w:val="0"/>
      <w:color w:val="17203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ora" w:hAnsi="Sora" w:cs="Sora" w:eastAsia="Sora"/>
      <w:b/>
      <w:bCs/>
      <w:i w:val="0"/>
      <w:color w:val="17203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ora" w:hAnsi="Sora" w:cs="Sora" w:eastAsia="Sora"/>
      <w:b/>
      <w:color w:val="172033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ora" w:hAnsi="Sora" w:cs="Sora" w:eastAsia="Sora"/>
      <w:i w:val="0"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