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500" w:type="dxa"/>
          <w:left w:w="600" w:type="dxa"/>
          <w:bottom w:w="600" w:type="dxa"/>
          <w:right w:w="600" w:type="dxa"/>
        </w:tblCellMar>
      </w:tblPr>
      <w:tblGrid>
        <w:gridCol w:w="9639"/>
      </w:tblGrid>
      <w:tr>
        <w:trPr>
          <w:trHeight w:val="8504" w:hRule="exact"/>
        </w:trPr>
        <w:tc>
          <w:tcPr>
            <w:tcW w:type="dxa" w:w="9638"/>
            <w:shd w:val="clear" w:color="auto" w:fill="0F766E"/>
            <w:vAlign w:val="bottom"/>
          </w:tcPr>
          <w:p>
            <w:pPr>
              <w:spacing w:after="280"/>
            </w:pPr>
            <w:r>
              <w:rPr>
                <w:b/>
                <w:i w:val="0"/>
                <w:caps/>
                <w:color w:val="FFFFFF"/>
                <w:sz w:val="20"/>
                <w:spacing w:val="40"/>
              </w:rPr>
              <w:t>Business Plan 2026–2029</w:t>
            </w:r>
          </w:p>
          <w:p>
            <w:pPr>
              <w:pStyle w:val="Title"/>
            </w:pPr>
            <w:r>
              <w:rPr>
                <w:color w:val="FFFFFF"/>
              </w:rPr>
              <w:t>Chai Tapri Co.</w:t>
            </w:r>
          </w:p>
          <w:p>
            <w:pPr>
              <w:spacing w:after="0"/>
            </w:pPr>
            <w:r>
              <w:rPr>
                <w:b w:val="0"/>
                <w:i w:val="0"/>
                <w:color w:val="FFFFFF"/>
                <w:sz w:val="26"/>
              </w:rPr>
              <w:t>A modern chai and snacks chain for students and office-goers</w:t>
            </w:r>
          </w:p>
        </w:tc>
      </w:tr>
    </w:tbl>
    <w:p>
      <w:pPr>
        <w:spacing w:after="6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74777A"/>
                <w:sz w:val="16"/>
              </w:rPr>
              <w:t>PREPARED BY</w:t>
            </w:r>
          </w:p>
        </w:tc>
        <w:tc>
          <w:tcPr>
            <w:tcW w:type="dxa" w:w="3213"/>
          </w:tcPr>
          <w:p>
            <w:pPr>
              <w:spacing w:after="0"/>
              <w:jc w:val="left"/>
            </w:pPr>
            <w:r>
              <w:rPr>
                <w:b/>
                <w:color w:val="74777A"/>
                <w:sz w:val="16"/>
              </w:rPr>
              <w:t>VERSION</w:t>
            </w:r>
          </w:p>
        </w:tc>
        <w:tc>
          <w:tcPr>
            <w:tcW w:type="dxa" w:w="3213"/>
          </w:tcPr>
          <w:p>
            <w:pPr>
              <w:spacing w:after="0"/>
              <w:jc w:val="left"/>
            </w:pPr>
            <w:r>
              <w:rPr>
                <w:b/>
                <w:color w:val="74777A"/>
                <w:sz w:val="16"/>
              </w:rPr>
              <w:t>CITY</w:t>
            </w:r>
          </w:p>
        </w:tc>
      </w:tr>
      <w:tr>
        <w:tc>
          <w:tcPr>
            <w:tcW w:type="dxa" w:w="3213"/>
          </w:tcPr>
          <w:p>
            <w:pPr>
              <w:spacing w:after="0"/>
              <w:jc w:val="left"/>
            </w:pPr>
            <w:r>
              <w:rPr>
                <w:color w:val="1F2328"/>
                <w:sz w:val="21"/>
              </w:rPr>
              <w:t>Rohit Kale and team</w:t>
            </w:r>
          </w:p>
        </w:tc>
        <w:tc>
          <w:tcPr>
            <w:tcW w:type="dxa" w:w="3213"/>
          </w:tcPr>
          <w:p>
            <w:pPr>
              <w:spacing w:after="0"/>
              <w:jc w:val="left"/>
            </w:pPr>
            <w:r>
              <w:rPr>
                <w:color w:val="1F2328"/>
                <w:sz w:val="21"/>
              </w:rPr>
              <w:t>1.0 · Confidential</w:t>
            </w:r>
          </w:p>
        </w:tc>
        <w:tc>
          <w:tcPr>
            <w:tcW w:type="dxa" w:w="3213"/>
          </w:tcPr>
          <w:p>
            <w:pPr>
              <w:spacing w:after="0"/>
              <w:jc w:val="left"/>
            </w:pPr>
            <w:r>
              <w:rPr>
                <w:color w:val="1F2328"/>
                <w:sz w:val="21"/>
              </w:rPr>
              <w:t>Pune</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Executive Summary</w:t>
      </w:r>
      <w:r>
        <w:tab/>
        <w:t>2</w:t>
      </w:r>
    </w:p>
    <w:p>
      <w:pPr>
        <w:pStyle w:val="TOC1"/>
      </w:pPr>
      <w:r>
        <w:t>Company Overview</w:t>
      </w:r>
      <w:r>
        <w:tab/>
        <w:t>3</w:t>
      </w:r>
    </w:p>
    <w:p>
      <w:pPr>
        <w:pStyle w:val="TOC2"/>
      </w:pPr>
      <w:r>
        <w:t>Mission</w:t>
      </w:r>
      <w:r>
        <w:tab/>
        <w:t>3</w:t>
      </w:r>
    </w:p>
    <w:p>
      <w:pPr>
        <w:pStyle w:val="TOC2"/>
      </w:pPr>
      <w:r>
        <w:t>Products and Services</w:t>
      </w:r>
      <w:r>
        <w:tab/>
        <w:t>3</w:t>
      </w:r>
    </w:p>
    <w:p>
      <w:pPr>
        <w:pStyle w:val="TOC2"/>
      </w:pPr>
      <w:r>
        <w:t>Legal Structure and Location</w:t>
      </w:r>
      <w:r>
        <w:tab/>
        <w:t>3</w:t>
      </w:r>
    </w:p>
    <w:p>
      <w:pPr>
        <w:pStyle w:val="TOC1"/>
      </w:pPr>
      <w:r>
        <w:t>Market Analysis</w:t>
      </w:r>
      <w:r>
        <w:tab/>
        <w:t>3</w:t>
      </w:r>
    </w:p>
    <w:p>
      <w:pPr>
        <w:pStyle w:val="TOC2"/>
      </w:pPr>
      <w:r>
        <w:t>Industry Overview</w:t>
      </w:r>
      <w:r>
        <w:tab/>
        <w:t>3</w:t>
      </w:r>
    </w:p>
    <w:p>
      <w:pPr>
        <w:pStyle w:val="TOC2"/>
      </w:pPr>
      <w:r>
        <w:t>Target Customers</w:t>
      </w:r>
      <w:r>
        <w:tab/>
        <w:t>3</w:t>
      </w:r>
    </w:p>
    <w:p>
      <w:pPr>
        <w:pStyle w:val="TOC2"/>
      </w:pPr>
      <w:r>
        <w:t>Competition</w:t>
      </w:r>
      <w:r>
        <w:tab/>
        <w:t>4</w:t>
      </w:r>
    </w:p>
    <w:p>
      <w:pPr>
        <w:pStyle w:val="TOC2"/>
      </w:pPr>
      <w:r>
        <w:t>SWOT Analysis</w:t>
      </w:r>
      <w:r>
        <w:tab/>
        <w:t>4</w:t>
      </w:r>
    </w:p>
    <w:p>
      <w:pPr>
        <w:pStyle w:val="TOC1"/>
      </w:pPr>
      <w:r>
        <w:t>Marketing and Sales Strategy</w:t>
      </w:r>
      <w:r>
        <w:tab/>
        <w:t>4</w:t>
      </w:r>
    </w:p>
    <w:p>
      <w:pPr>
        <w:pStyle w:val="TOC1"/>
      </w:pPr>
      <w:r>
        <w:t>Operations Plan</w:t>
      </w:r>
      <w:r>
        <w:tab/>
        <w:t>4</w:t>
      </w:r>
    </w:p>
    <w:p>
      <w:pPr>
        <w:pStyle w:val="TOC1"/>
      </w:pPr>
      <w:r>
        <w:t>Management Team</w:t>
      </w:r>
      <w:r>
        <w:tab/>
        <w:t>5</w:t>
      </w:r>
    </w:p>
    <w:p>
      <w:pPr>
        <w:pStyle w:val="TOC1"/>
      </w:pPr>
      <w:r>
        <w:t>Financial Plan</w:t>
      </w:r>
      <w:r>
        <w:tab/>
        <w:t>5</w:t>
      </w:r>
    </w:p>
    <w:p>
      <w:pPr>
        <w:pStyle w:val="TOC2"/>
      </w:pPr>
      <w:r>
        <w:t>Funding Requirement</w:t>
      </w:r>
      <w:r>
        <w:tab/>
        <w:t>5</w:t>
      </w:r>
    </w:p>
    <w:p>
      <w:pPr>
        <w:pStyle w:val="TOC1"/>
      </w:pPr>
      <w:r>
        <w:t>Risks and Mitigation</w:t>
      </w:r>
      <w:r>
        <w:tab/>
        <w:t>5</w:t>
      </w:r>
    </w:p>
    <w:p>
      <w:pPr>
        <w:spacing w:after="0"/>
      </w:pPr>
      <w:r>
        <w:fldChar w:fldCharType="end"/>
      </w:r>
    </w:p>
    <w:p>
      <w:pPr>
        <w:pStyle w:val="Heading1"/>
      </w:pPr>
      <w:r>
        <w:t>Executive Summary</w:t>
      </w:r>
    </w:p>
    <w:p>
      <w:pPr>
        <w:jc w:val="both"/>
      </w:pPr>
      <w:r>
        <w:t>Chai Tapri Co. serves fresh masala chai, filter coffee and local snacks from compact kiosks near colleges and office parks. Our standard recipes, digital ordering and clean, cheerful kiosks give customers the comfort of a roadside tapri with the reliability of a brand.</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The opportunity</w:t>
            </w:r>
          </w:p>
          <w:p>
            <w:pPr>
              <w:spacing w:after="0"/>
            </w:pPr>
            <w:r>
              <w:t>Tea is India’s everyday drink, yet most outlets are unbranded and inconsistent. Young customers want quality, hygiene and quick digital payment at a fair price.</w:t>
            </w:r>
          </w:p>
        </w:tc>
      </w:tr>
    </w:tbl>
    <w:p>
      <w:pPr>
        <w:spacing w:after="40"/>
      </w:pP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381"/>
        <w:gridCol w:w="2628"/>
        <w:gridCol w:w="2628"/>
      </w:tblGrid>
      <w:tr>
        <w:trPr>
          <w:tblHeader/>
        </w:trPr>
        <w:tc>
          <w:tcPr>
            <w:tcW w:type="dxa" w:w="4381"/>
            <w:vAlign w:val="center"/>
            <w:shd w:val="clear" w:color="auto" w:fill="0F766E"/>
          </w:tcPr>
          <w:p>
            <w:pPr>
              <w:spacing w:after="0"/>
            </w:pPr>
            <w:r/>
            <w:r>
              <w:rPr>
                <w:b/>
                <w:color w:val="FFFFFF"/>
                <w:sz w:val="20"/>
              </w:rPr>
              <w:t>Key figure (sample)</w:t>
            </w:r>
          </w:p>
        </w:tc>
        <w:tc>
          <w:tcPr>
            <w:tcW w:type="dxa" w:w="2628"/>
            <w:vAlign w:val="center"/>
            <w:shd w:val="clear" w:color="auto" w:fill="0F766E"/>
          </w:tcPr>
          <w:p>
            <w:pPr>
              <w:spacing w:after="0"/>
            </w:pPr>
            <w:r/>
            <w:r>
              <w:rPr>
                <w:b/>
                <w:color w:val="FFFFFF"/>
                <w:sz w:val="20"/>
              </w:rPr>
              <w:t>Year 1</w:t>
            </w:r>
          </w:p>
        </w:tc>
        <w:tc>
          <w:tcPr>
            <w:tcW w:type="dxa" w:w="2628"/>
            <w:vAlign w:val="center"/>
            <w:shd w:val="clear" w:color="auto" w:fill="0F766E"/>
          </w:tcPr>
          <w:p>
            <w:pPr>
              <w:spacing w:after="0"/>
            </w:pPr>
            <w:r/>
            <w:r>
              <w:rPr>
                <w:b/>
                <w:color w:val="FFFFFF"/>
                <w:sz w:val="20"/>
              </w:rPr>
              <w:t>Year 3</w:t>
            </w:r>
          </w:p>
        </w:tc>
      </w:tr>
      <w:tr>
        <w:tc>
          <w:tcPr>
            <w:tcW w:type="dxa" w:w="4381"/>
            <w:vAlign w:val="center"/>
          </w:tcPr>
          <w:p>
            <w:pPr>
              <w:spacing w:after="0"/>
            </w:pPr>
            <w:r/>
            <w:r>
              <w:rPr>
                <w:sz w:val="20"/>
              </w:rPr>
              <w:t>Kiosks</w:t>
            </w:r>
          </w:p>
        </w:tc>
        <w:tc>
          <w:tcPr>
            <w:tcW w:type="dxa" w:w="2628"/>
            <w:vAlign w:val="center"/>
          </w:tcPr>
          <w:p>
            <w:pPr>
              <w:spacing w:after="0"/>
            </w:pPr>
            <w:r/>
            <w:r>
              <w:rPr>
                <w:sz w:val="20"/>
              </w:rPr>
              <w:t>4</w:t>
            </w:r>
          </w:p>
        </w:tc>
        <w:tc>
          <w:tcPr>
            <w:tcW w:type="dxa" w:w="2628"/>
            <w:vAlign w:val="center"/>
          </w:tcPr>
          <w:p>
            <w:pPr>
              <w:spacing w:after="0"/>
            </w:pPr>
            <w:r/>
            <w:r>
              <w:rPr>
                <w:sz w:val="20"/>
              </w:rPr>
              <w:t>25</w:t>
            </w:r>
          </w:p>
        </w:tc>
      </w:tr>
      <w:tr>
        <w:tc>
          <w:tcPr>
            <w:tcW w:type="dxa" w:w="4381"/>
            <w:vAlign w:val="center"/>
            <w:shd w:val="clear" w:color="auto" w:fill="E7F1F0"/>
          </w:tcPr>
          <w:p>
            <w:pPr>
              <w:spacing w:after="0"/>
            </w:pPr>
            <w:r/>
            <w:r>
              <w:rPr>
                <w:sz w:val="20"/>
              </w:rPr>
              <w:t>Cups sold per day</w:t>
            </w:r>
          </w:p>
        </w:tc>
        <w:tc>
          <w:tcPr>
            <w:tcW w:type="dxa" w:w="2628"/>
            <w:vAlign w:val="center"/>
            <w:shd w:val="clear" w:color="auto" w:fill="E7F1F0"/>
          </w:tcPr>
          <w:p>
            <w:pPr>
              <w:spacing w:after="0"/>
            </w:pPr>
            <w:r/>
            <w:r>
              <w:rPr>
                <w:sz w:val="20"/>
              </w:rPr>
              <w:t>2,400</w:t>
            </w:r>
          </w:p>
        </w:tc>
        <w:tc>
          <w:tcPr>
            <w:tcW w:type="dxa" w:w="2628"/>
            <w:vAlign w:val="center"/>
            <w:shd w:val="clear" w:color="auto" w:fill="E7F1F0"/>
          </w:tcPr>
          <w:p>
            <w:pPr>
              <w:spacing w:after="0"/>
            </w:pPr>
            <w:r/>
            <w:r>
              <w:rPr>
                <w:sz w:val="20"/>
              </w:rPr>
              <w:t>16,000</w:t>
            </w:r>
          </w:p>
        </w:tc>
      </w:tr>
      <w:tr>
        <w:tc>
          <w:tcPr>
            <w:tcW w:type="dxa" w:w="4381"/>
            <w:vAlign w:val="center"/>
          </w:tcPr>
          <w:p>
            <w:pPr>
              <w:spacing w:after="0"/>
            </w:pPr>
            <w:r/>
            <w:r>
              <w:rPr>
                <w:sz w:val="20"/>
              </w:rPr>
              <w:t>Revenue</w:t>
            </w:r>
          </w:p>
        </w:tc>
        <w:tc>
          <w:tcPr>
            <w:tcW w:type="dxa" w:w="2628"/>
            <w:vAlign w:val="center"/>
          </w:tcPr>
          <w:p>
            <w:pPr>
              <w:spacing w:after="0"/>
            </w:pPr>
            <w:r/>
            <w:r>
              <w:rPr>
                <w:sz w:val="20"/>
              </w:rPr>
              <w:t>₹1.1 Cr</w:t>
            </w:r>
          </w:p>
        </w:tc>
        <w:tc>
          <w:tcPr>
            <w:tcW w:type="dxa" w:w="2628"/>
            <w:vAlign w:val="center"/>
          </w:tcPr>
          <w:p>
            <w:pPr>
              <w:spacing w:after="0"/>
            </w:pPr>
            <w:r/>
            <w:r>
              <w:rPr>
                <w:sz w:val="20"/>
              </w:rPr>
              <w:t>₹7.8 Cr</w:t>
            </w:r>
          </w:p>
        </w:tc>
      </w:tr>
      <w:tr>
        <w:tc>
          <w:tcPr>
            <w:tcW w:type="dxa" w:w="4381"/>
            <w:vAlign w:val="center"/>
            <w:shd w:val="clear" w:color="auto" w:fill="E7F1F0"/>
          </w:tcPr>
          <w:p>
            <w:pPr>
              <w:spacing w:after="0"/>
            </w:pPr>
            <w:r/>
            <w:r>
              <w:rPr>
                <w:sz w:val="20"/>
              </w:rPr>
              <w:t>Team size</w:t>
            </w:r>
          </w:p>
        </w:tc>
        <w:tc>
          <w:tcPr>
            <w:tcW w:type="dxa" w:w="2628"/>
            <w:vAlign w:val="center"/>
            <w:shd w:val="clear" w:color="auto" w:fill="E7F1F0"/>
          </w:tcPr>
          <w:p>
            <w:pPr>
              <w:spacing w:after="0"/>
            </w:pPr>
            <w:r/>
            <w:r>
              <w:rPr>
                <w:sz w:val="20"/>
              </w:rPr>
              <w:t>22</w:t>
            </w:r>
          </w:p>
        </w:tc>
        <w:tc>
          <w:tcPr>
            <w:tcW w:type="dxa" w:w="2628"/>
            <w:vAlign w:val="center"/>
            <w:shd w:val="clear" w:color="auto" w:fill="E7F1F0"/>
          </w:tcPr>
          <w:p>
            <w:pPr>
              <w:spacing w:after="0"/>
            </w:pPr>
            <w:r/>
            <w:r>
              <w:rPr>
                <w:sz w:val="20"/>
              </w:rPr>
              <w:t>140</w:t>
            </w:r>
          </w:p>
        </w:tc>
      </w:tr>
    </w:tbl>
    <w:p>
      <w:pPr>
        <w:spacing w:after="80"/>
      </w:pPr>
    </w:p>
    <w:p>
      <w:pPr>
        <w:pStyle w:val="Caption"/>
      </w:pPr>
      <w:r>
        <w:t>All projections in this plan are illustrative sample figures.</w:t>
      </w:r>
    </w:p>
    <w:p>
      <w:pPr>
        <w:pStyle w:val="Heading1"/>
      </w:pPr>
      <w:r>
        <w:t>Company Overview</w:t>
      </w:r>
    </w:p>
    <w:p>
      <w:pPr>
        <w:pStyle w:val="Heading2"/>
      </w:pPr>
      <w:r>
        <w:t>Mission</w:t>
      </w:r>
    </w:p>
    <w:p>
      <w:pPr>
        <w:jc w:val="both"/>
      </w:pPr>
      <w:r>
        <w:t>To serve the best cup of chai within two minutes, at a price students can afford, in a place they enjoy.</w:t>
      </w:r>
    </w:p>
    <w:p>
      <w:pPr>
        <w:pStyle w:val="Heading2"/>
      </w:pPr>
      <w:r>
        <w:t>Products and Services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59"/>
        <w:gridCol w:w="4985"/>
        <w:gridCol w:w="1994"/>
      </w:tblGrid>
      <w:tr>
        <w:trPr>
          <w:tblHeader/>
        </w:trPr>
        <w:tc>
          <w:tcPr>
            <w:tcW w:type="dxa" w:w="2659"/>
            <w:vAlign w:val="center"/>
            <w:shd w:val="clear" w:color="auto" w:fill="0F766E"/>
          </w:tcPr>
          <w:p>
            <w:pPr>
              <w:spacing w:after="0"/>
            </w:pPr>
            <w:r/>
            <w:r>
              <w:rPr>
                <w:b/>
                <w:color w:val="FFFFFF"/>
                <w:sz w:val="20"/>
              </w:rPr>
              <w:t>Offering</w:t>
            </w:r>
          </w:p>
        </w:tc>
        <w:tc>
          <w:tcPr>
            <w:tcW w:type="dxa" w:w="4985"/>
            <w:vAlign w:val="center"/>
            <w:shd w:val="clear" w:color="auto" w:fill="0F766E"/>
          </w:tcPr>
          <w:p>
            <w:pPr>
              <w:spacing w:after="0"/>
            </w:pPr>
            <w:r/>
            <w:r>
              <w:rPr>
                <w:b/>
                <w:color w:val="FFFFFF"/>
                <w:sz w:val="20"/>
              </w:rPr>
              <w:t>Description</w:t>
            </w:r>
          </w:p>
        </w:tc>
        <w:tc>
          <w:tcPr>
            <w:tcW w:type="dxa" w:w="1994"/>
            <w:vAlign w:val="center"/>
            <w:shd w:val="clear" w:color="auto" w:fill="0F766E"/>
          </w:tcPr>
          <w:p>
            <w:pPr>
              <w:spacing w:after="0"/>
            </w:pPr>
            <w:r/>
            <w:r>
              <w:rPr>
                <w:b/>
                <w:color w:val="FFFFFF"/>
                <w:sz w:val="20"/>
              </w:rPr>
              <w:t>Price (sample)</w:t>
            </w:r>
          </w:p>
        </w:tc>
      </w:tr>
      <w:tr>
        <w:tc>
          <w:tcPr>
            <w:tcW w:type="dxa" w:w="2659"/>
            <w:vAlign w:val="center"/>
          </w:tcPr>
          <w:p>
            <w:pPr>
              <w:spacing w:after="0"/>
            </w:pPr>
            <w:r/>
            <w:r>
              <w:rPr>
                <w:sz w:val="20"/>
              </w:rPr>
              <w:t>Masala chai</w:t>
            </w:r>
          </w:p>
        </w:tc>
        <w:tc>
          <w:tcPr>
            <w:tcW w:type="dxa" w:w="4985"/>
            <w:vAlign w:val="center"/>
          </w:tcPr>
          <w:p>
            <w:pPr>
              <w:spacing w:after="0"/>
            </w:pPr>
            <w:r/>
            <w:r>
              <w:rPr>
                <w:sz w:val="20"/>
              </w:rPr>
              <w:t>Brewed fresh every 20 minutes with our spice blend</w:t>
            </w:r>
          </w:p>
        </w:tc>
        <w:tc>
          <w:tcPr>
            <w:tcW w:type="dxa" w:w="1994"/>
            <w:vAlign w:val="center"/>
          </w:tcPr>
          <w:p>
            <w:pPr>
              <w:spacing w:after="0"/>
            </w:pPr>
            <w:r/>
            <w:r>
              <w:rPr>
                <w:sz w:val="20"/>
              </w:rPr>
              <w:t>₹20</w:t>
            </w:r>
          </w:p>
        </w:tc>
      </w:tr>
      <w:tr>
        <w:tc>
          <w:tcPr>
            <w:tcW w:type="dxa" w:w="2659"/>
            <w:vAlign w:val="center"/>
            <w:shd w:val="clear" w:color="auto" w:fill="E7F1F0"/>
          </w:tcPr>
          <w:p>
            <w:pPr>
              <w:spacing w:after="0"/>
            </w:pPr>
            <w:r/>
            <w:r>
              <w:rPr>
                <w:sz w:val="20"/>
              </w:rPr>
              <w:t>Filter coffee</w:t>
            </w:r>
          </w:p>
        </w:tc>
        <w:tc>
          <w:tcPr>
            <w:tcW w:type="dxa" w:w="4985"/>
            <w:vAlign w:val="center"/>
            <w:shd w:val="clear" w:color="auto" w:fill="E7F1F0"/>
          </w:tcPr>
          <w:p>
            <w:pPr>
              <w:spacing w:after="0"/>
            </w:pPr>
            <w:r/>
            <w:r>
              <w:rPr>
                <w:sz w:val="20"/>
              </w:rPr>
              <w:t>South Indian decoction coffee</w:t>
            </w:r>
          </w:p>
        </w:tc>
        <w:tc>
          <w:tcPr>
            <w:tcW w:type="dxa" w:w="1994"/>
            <w:vAlign w:val="center"/>
            <w:shd w:val="clear" w:color="auto" w:fill="E7F1F0"/>
          </w:tcPr>
          <w:p>
            <w:pPr>
              <w:spacing w:after="0"/>
            </w:pPr>
            <w:r/>
            <w:r>
              <w:rPr>
                <w:sz w:val="20"/>
              </w:rPr>
              <w:t>₹30</w:t>
            </w:r>
          </w:p>
        </w:tc>
      </w:tr>
      <w:tr>
        <w:tc>
          <w:tcPr>
            <w:tcW w:type="dxa" w:w="2659"/>
            <w:vAlign w:val="center"/>
          </w:tcPr>
          <w:p>
            <w:pPr>
              <w:spacing w:after="0"/>
            </w:pPr>
            <w:r/>
            <w:r>
              <w:rPr>
                <w:sz w:val="20"/>
              </w:rPr>
              <w:t>Snacks</w:t>
            </w:r>
          </w:p>
        </w:tc>
        <w:tc>
          <w:tcPr>
            <w:tcW w:type="dxa" w:w="4985"/>
            <w:vAlign w:val="center"/>
          </w:tcPr>
          <w:p>
            <w:pPr>
              <w:spacing w:after="0"/>
            </w:pPr>
            <w:r/>
            <w:r>
              <w:rPr>
                <w:sz w:val="20"/>
              </w:rPr>
              <w:t>Vada pav, poha, samosa and sandwiches</w:t>
            </w:r>
          </w:p>
        </w:tc>
        <w:tc>
          <w:tcPr>
            <w:tcW w:type="dxa" w:w="1994"/>
            <w:vAlign w:val="center"/>
          </w:tcPr>
          <w:p>
            <w:pPr>
              <w:spacing w:after="0"/>
            </w:pPr>
            <w:r/>
            <w:r>
              <w:rPr>
                <w:sz w:val="20"/>
              </w:rPr>
              <w:t>₹25–60</w:t>
            </w:r>
          </w:p>
        </w:tc>
      </w:tr>
      <w:tr>
        <w:tc>
          <w:tcPr>
            <w:tcW w:type="dxa" w:w="2659"/>
            <w:vAlign w:val="center"/>
            <w:shd w:val="clear" w:color="auto" w:fill="E7F1F0"/>
          </w:tcPr>
          <w:p>
            <w:pPr>
              <w:spacing w:after="0"/>
            </w:pPr>
            <w:r/>
            <w:r>
              <w:rPr>
                <w:sz w:val="20"/>
              </w:rPr>
              <w:t>Office subscriptions</w:t>
            </w:r>
          </w:p>
        </w:tc>
        <w:tc>
          <w:tcPr>
            <w:tcW w:type="dxa" w:w="4985"/>
            <w:vAlign w:val="center"/>
            <w:shd w:val="clear" w:color="auto" w:fill="E7F1F0"/>
          </w:tcPr>
          <w:p>
            <w:pPr>
              <w:spacing w:after="0"/>
            </w:pPr>
            <w:r/>
            <w:r>
              <w:rPr>
                <w:sz w:val="20"/>
              </w:rPr>
              <w:t>Daily delivery of flasks to small offices</w:t>
            </w:r>
          </w:p>
        </w:tc>
        <w:tc>
          <w:tcPr>
            <w:tcW w:type="dxa" w:w="1994"/>
            <w:vAlign w:val="center"/>
            <w:shd w:val="clear" w:color="auto" w:fill="E7F1F0"/>
          </w:tcPr>
          <w:p>
            <w:pPr>
              <w:spacing w:after="0"/>
            </w:pPr>
            <w:r/>
            <w:r>
              <w:rPr>
                <w:sz w:val="20"/>
              </w:rPr>
              <w:t>₹4,500/month</w:t>
            </w:r>
          </w:p>
        </w:tc>
      </w:tr>
    </w:tbl>
    <w:p>
      <w:pPr>
        <w:spacing w:after="80"/>
      </w:pPr>
    </w:p>
    <w:p>
      <w:pPr>
        <w:pStyle w:val="Heading2"/>
      </w:pPr>
      <w:r>
        <w:t>Legal Structure and Location</w:t>
      </w:r>
    </w:p>
    <w:p>
      <w:pPr>
        <w:jc w:val="both"/>
      </w:pPr>
      <w:r>
        <w:t>The business will be registered as a private limited company with an FSSAI licence for each kiosk. A central kitchen in Kothrud prepares snacks and spice blends.</w:t>
      </w:r>
    </w:p>
    <w:p>
      <w:pPr>
        <w:pStyle w:val="Heading1"/>
      </w:pPr>
      <w:r>
        <w:t>Market Analysis</w:t>
      </w:r>
    </w:p>
    <w:p>
      <w:pPr>
        <w:pStyle w:val="Heading2"/>
      </w:pPr>
      <w:r>
        <w:t>Industry Overview</w:t>
      </w:r>
    </w:p>
    <w:p>
      <w:pPr>
        <w:jc w:val="both"/>
      </w:pPr>
      <w:r>
        <w:t>The organised tea-café segment is growing quickly in metro cities, while the vast unorganised market remains price-sensitive. Kiosks near colleges and IT parks see heavy footfall in the morning and evening.</w:t>
      </w:r>
    </w:p>
    <w:p>
      <w:pPr>
        <w:pStyle w:val="Heading2"/>
      </w:pPr>
      <w:r>
        <w:t>Target Customers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142"/>
        <w:gridCol w:w="5712"/>
        <w:gridCol w:w="1785"/>
      </w:tblGrid>
      <w:tr>
        <w:trPr>
          <w:tblHeader/>
        </w:trPr>
        <w:tc>
          <w:tcPr>
            <w:tcW w:type="dxa" w:w="2142"/>
            <w:vAlign w:val="center"/>
            <w:shd w:val="clear" w:color="auto" w:fill="0F766E"/>
          </w:tcPr>
          <w:p>
            <w:pPr>
              <w:spacing w:after="0"/>
            </w:pPr>
            <w:r/>
            <w:r>
              <w:rPr>
                <w:b/>
                <w:color w:val="FFFFFF"/>
                <w:sz w:val="20"/>
              </w:rPr>
              <w:t>Segment</w:t>
            </w:r>
          </w:p>
        </w:tc>
        <w:tc>
          <w:tcPr>
            <w:tcW w:type="dxa" w:w="5711"/>
            <w:vAlign w:val="center"/>
            <w:shd w:val="clear" w:color="auto" w:fill="0F766E"/>
          </w:tcPr>
          <w:p>
            <w:pPr>
              <w:spacing w:after="0"/>
            </w:pPr>
            <w:r/>
            <w:r>
              <w:rPr>
                <w:b/>
                <w:color w:val="FFFFFF"/>
                <w:sz w:val="20"/>
              </w:rPr>
              <w:t>Description</w:t>
            </w:r>
          </w:p>
        </w:tc>
        <w:tc>
          <w:tcPr>
            <w:tcW w:type="dxa" w:w="1785"/>
            <w:vAlign w:val="center"/>
            <w:shd w:val="clear" w:color="auto" w:fill="0F766E"/>
          </w:tcPr>
          <w:p>
            <w:pPr>
              <w:spacing w:after="0"/>
            </w:pPr>
            <w:r/>
            <w:r>
              <w:rPr>
                <w:b/>
                <w:color w:val="FFFFFF"/>
                <w:sz w:val="20"/>
              </w:rPr>
              <w:t>Priority</w:t>
            </w:r>
          </w:p>
        </w:tc>
      </w:tr>
      <w:tr>
        <w:tc>
          <w:tcPr>
            <w:tcW w:type="dxa" w:w="2142"/>
            <w:vAlign w:val="center"/>
          </w:tcPr>
          <w:p>
            <w:pPr>
              <w:spacing w:after="0"/>
            </w:pPr>
            <w:r/>
            <w:r>
              <w:rPr>
                <w:sz w:val="20"/>
              </w:rPr>
              <w:t>College students</w:t>
            </w:r>
          </w:p>
        </w:tc>
        <w:tc>
          <w:tcPr>
            <w:tcW w:type="dxa" w:w="5711"/>
            <w:vAlign w:val="center"/>
          </w:tcPr>
          <w:p>
            <w:pPr>
              <w:spacing w:after="0"/>
            </w:pPr>
            <w:r/>
            <w:r>
              <w:rPr>
                <w:sz w:val="20"/>
              </w:rPr>
              <w:t>Price-sensitive, visit in groups</w:t>
            </w:r>
          </w:p>
        </w:tc>
        <w:tc>
          <w:tcPr>
            <w:tcW w:type="dxa" w:w="1785"/>
            <w:vAlign w:val="center"/>
          </w:tcPr>
          <w:p>
            <w:pPr>
              <w:spacing w:after="0"/>
            </w:pPr>
            <w:r/>
            <w:r>
              <w:rPr>
                <w:sz w:val="20"/>
              </w:rPr>
              <w:t>High</w:t>
            </w:r>
          </w:p>
        </w:tc>
      </w:tr>
      <w:tr>
        <w:tc>
          <w:tcPr>
            <w:tcW w:type="dxa" w:w="2142"/>
            <w:vAlign w:val="center"/>
            <w:shd w:val="clear" w:color="auto" w:fill="E7F1F0"/>
          </w:tcPr>
          <w:p>
            <w:pPr>
              <w:spacing w:after="0"/>
            </w:pPr>
            <w:r/>
            <w:r>
              <w:rPr>
                <w:sz w:val="20"/>
              </w:rPr>
              <w:t>Office workers</w:t>
            </w:r>
          </w:p>
        </w:tc>
        <w:tc>
          <w:tcPr>
            <w:tcW w:type="dxa" w:w="5711"/>
            <w:vAlign w:val="center"/>
            <w:shd w:val="clear" w:color="auto" w:fill="E7F1F0"/>
          </w:tcPr>
          <w:p>
            <w:pPr>
              <w:spacing w:after="0"/>
            </w:pPr>
            <w:r/>
            <w:r>
              <w:rPr>
                <w:sz w:val="20"/>
              </w:rPr>
              <w:t>Value speed and cleanliness</w:t>
            </w:r>
          </w:p>
        </w:tc>
        <w:tc>
          <w:tcPr>
            <w:tcW w:type="dxa" w:w="1785"/>
            <w:vAlign w:val="center"/>
            <w:shd w:val="clear" w:color="auto" w:fill="E7F1F0"/>
          </w:tcPr>
          <w:p>
            <w:pPr>
              <w:spacing w:after="0"/>
            </w:pPr>
            <w:r/>
            <w:r>
              <w:rPr>
                <w:sz w:val="20"/>
              </w:rPr>
              <w:t>High</w:t>
            </w:r>
          </w:p>
        </w:tc>
      </w:tr>
      <w:tr>
        <w:tc>
          <w:tcPr>
            <w:tcW w:type="dxa" w:w="2142"/>
            <w:vAlign w:val="center"/>
          </w:tcPr>
          <w:p>
            <w:pPr>
              <w:spacing w:after="0"/>
            </w:pPr>
            <w:r/>
            <w:r>
              <w:rPr>
                <w:sz w:val="20"/>
              </w:rPr>
              <w:t>Small offices</w:t>
            </w:r>
          </w:p>
        </w:tc>
        <w:tc>
          <w:tcPr>
            <w:tcW w:type="dxa" w:w="5711"/>
            <w:vAlign w:val="center"/>
          </w:tcPr>
          <w:p>
            <w:pPr>
              <w:spacing w:after="0"/>
            </w:pPr>
            <w:r/>
            <w:r>
              <w:rPr>
                <w:sz w:val="20"/>
              </w:rPr>
              <w:t>Daily bulk orders</w:t>
            </w:r>
          </w:p>
        </w:tc>
        <w:tc>
          <w:tcPr>
            <w:tcW w:type="dxa" w:w="1785"/>
            <w:vAlign w:val="center"/>
          </w:tcPr>
          <w:p>
            <w:pPr>
              <w:spacing w:after="0"/>
            </w:pPr>
            <w:r/>
            <w:r>
              <w:rPr>
                <w:sz w:val="20"/>
              </w:rPr>
              <w:t>Medium</w:t>
            </w:r>
          </w:p>
        </w:tc>
      </w:tr>
    </w:tbl>
    <w:p>
      <w:pPr>
        <w:spacing w:after="80"/>
      </w:pPr>
    </w:p>
    <w:p>
      <w:pPr>
        <w:pStyle w:val="Heading2"/>
      </w:pPr>
      <w:r>
        <w:t>Competition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59"/>
        <w:gridCol w:w="3323"/>
        <w:gridCol w:w="3656"/>
      </w:tblGrid>
      <w:tr>
        <w:trPr>
          <w:tblHeader/>
        </w:trPr>
        <w:tc>
          <w:tcPr>
            <w:tcW w:type="dxa" w:w="2659"/>
            <w:vAlign w:val="center"/>
            <w:shd w:val="clear" w:color="auto" w:fill="0F766E"/>
          </w:tcPr>
          <w:p>
            <w:pPr>
              <w:spacing w:after="0"/>
            </w:pPr>
            <w:r/>
            <w:r>
              <w:rPr>
                <w:b/>
                <w:color w:val="FFFFFF"/>
                <w:sz w:val="20"/>
              </w:rPr>
              <w:t>Competitor type</w:t>
            </w:r>
          </w:p>
        </w:tc>
        <w:tc>
          <w:tcPr>
            <w:tcW w:type="dxa" w:w="3323"/>
            <w:vAlign w:val="center"/>
            <w:shd w:val="clear" w:color="auto" w:fill="0F766E"/>
          </w:tcPr>
          <w:p>
            <w:pPr>
              <w:spacing w:after="0"/>
            </w:pPr>
            <w:r/>
            <w:r>
              <w:rPr>
                <w:b/>
                <w:color w:val="FFFFFF"/>
                <w:sz w:val="20"/>
              </w:rPr>
              <w:t>Strength</w:t>
            </w:r>
          </w:p>
        </w:tc>
        <w:tc>
          <w:tcPr>
            <w:tcW w:type="dxa" w:w="3656"/>
            <w:vAlign w:val="center"/>
            <w:shd w:val="clear" w:color="auto" w:fill="0F766E"/>
          </w:tcPr>
          <w:p>
            <w:pPr>
              <w:spacing w:after="0"/>
            </w:pPr>
            <w:r/>
            <w:r>
              <w:rPr>
                <w:b/>
                <w:color w:val="FFFFFF"/>
                <w:sz w:val="20"/>
              </w:rPr>
              <w:t>Our advantage</w:t>
            </w:r>
          </w:p>
        </w:tc>
      </w:tr>
      <w:tr>
        <w:tc>
          <w:tcPr>
            <w:tcW w:type="dxa" w:w="2659"/>
            <w:vAlign w:val="center"/>
          </w:tcPr>
          <w:p>
            <w:pPr>
              <w:spacing w:after="0"/>
            </w:pPr>
            <w:r/>
            <w:r>
              <w:rPr>
                <w:sz w:val="20"/>
              </w:rPr>
              <w:t>Roadside tapris</w:t>
            </w:r>
          </w:p>
        </w:tc>
        <w:tc>
          <w:tcPr>
            <w:tcW w:type="dxa" w:w="3323"/>
            <w:vAlign w:val="center"/>
          </w:tcPr>
          <w:p>
            <w:pPr>
              <w:spacing w:after="0"/>
            </w:pPr>
            <w:r/>
            <w:r>
              <w:rPr>
                <w:sz w:val="20"/>
              </w:rPr>
              <w:t>Cheap, familiar</w:t>
            </w:r>
          </w:p>
        </w:tc>
        <w:tc>
          <w:tcPr>
            <w:tcW w:type="dxa" w:w="3656"/>
            <w:vAlign w:val="center"/>
          </w:tcPr>
          <w:p>
            <w:pPr>
              <w:spacing w:after="0"/>
            </w:pPr>
            <w:r/>
            <w:r>
              <w:rPr>
                <w:sz w:val="20"/>
              </w:rPr>
              <w:t>Consistency, hygiene, UPI ordering</w:t>
            </w:r>
          </w:p>
        </w:tc>
      </w:tr>
      <w:tr>
        <w:tc>
          <w:tcPr>
            <w:tcW w:type="dxa" w:w="2659"/>
            <w:vAlign w:val="center"/>
            <w:shd w:val="clear" w:color="auto" w:fill="E7F1F0"/>
          </w:tcPr>
          <w:p>
            <w:pPr>
              <w:spacing w:after="0"/>
            </w:pPr>
            <w:r/>
            <w:r>
              <w:rPr>
                <w:sz w:val="20"/>
              </w:rPr>
              <w:t>Premium cafés</w:t>
            </w:r>
          </w:p>
        </w:tc>
        <w:tc>
          <w:tcPr>
            <w:tcW w:type="dxa" w:w="3323"/>
            <w:vAlign w:val="center"/>
            <w:shd w:val="clear" w:color="auto" w:fill="E7F1F0"/>
          </w:tcPr>
          <w:p>
            <w:pPr>
              <w:spacing w:after="0"/>
            </w:pPr>
            <w:r/>
            <w:r>
              <w:rPr>
                <w:sz w:val="20"/>
              </w:rPr>
              <w:t>Ambience</w:t>
            </w:r>
          </w:p>
        </w:tc>
        <w:tc>
          <w:tcPr>
            <w:tcW w:type="dxa" w:w="3656"/>
            <w:vAlign w:val="center"/>
            <w:shd w:val="clear" w:color="auto" w:fill="E7F1F0"/>
          </w:tcPr>
          <w:p>
            <w:pPr>
              <w:spacing w:after="0"/>
            </w:pPr>
            <w:r/>
            <w:r>
              <w:rPr>
                <w:sz w:val="20"/>
              </w:rPr>
              <w:t>Lower price, faster service</w:t>
            </w:r>
          </w:p>
        </w:tc>
      </w:tr>
      <w:tr>
        <w:tc>
          <w:tcPr>
            <w:tcW w:type="dxa" w:w="2659"/>
            <w:vAlign w:val="center"/>
          </w:tcPr>
          <w:p>
            <w:pPr>
              <w:spacing w:after="0"/>
            </w:pPr>
            <w:r/>
            <w:r>
              <w:rPr>
                <w:sz w:val="20"/>
              </w:rPr>
              <w:t>Delivery apps</w:t>
            </w:r>
          </w:p>
        </w:tc>
        <w:tc>
          <w:tcPr>
            <w:tcW w:type="dxa" w:w="3323"/>
            <w:vAlign w:val="center"/>
          </w:tcPr>
          <w:p>
            <w:pPr>
              <w:spacing w:after="0"/>
            </w:pPr>
            <w:r/>
            <w:r>
              <w:rPr>
                <w:sz w:val="20"/>
              </w:rPr>
              <w:t>Convenience</w:t>
            </w:r>
          </w:p>
        </w:tc>
        <w:tc>
          <w:tcPr>
            <w:tcW w:type="dxa" w:w="3656"/>
            <w:vAlign w:val="center"/>
          </w:tcPr>
          <w:p>
            <w:pPr>
              <w:spacing w:after="0"/>
            </w:pPr>
            <w:r/>
            <w:r>
              <w:rPr>
                <w:sz w:val="20"/>
              </w:rPr>
              <w:t>Freshness, office subscriptions</w:t>
            </w:r>
          </w:p>
        </w:tc>
      </w:tr>
    </w:tbl>
    <w:p>
      <w:pPr>
        <w:spacing w:after="80"/>
      </w:pPr>
    </w:p>
    <w:p>
      <w:pPr>
        <w:pStyle w:val="Heading2"/>
      </w:pPr>
      <w:r>
        <w:t>SWOT Analysis</w:t>
      </w:r>
    </w:p>
    <w:tbl>
      <w:tblPr>
        <w:tblLayout w:type="fixed"/>
        <w:tblLook w:firstColumn="1" w:firstRow="1" w:lastColumn="0" w:lastRow="0" w:noHBand="0" w:noVBand="1" w:val="04A0"/>
        <w:tblW w:w="9639" w:type="dxa"/>
        <w:tblLayout w:type="fixed"/>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blGrid>
        <w:gridCol w:w="4819"/>
        <w:gridCol w:w="4819"/>
      </w:tblGrid>
      <w:tr>
        <w:tc>
          <w:tcPr>
            <w:tcW w:type="dxa" w:w="4819"/>
            <w:shd w:val="clear" w:color="auto" w:fill="E7F1F0"/>
          </w:tcPr>
          <w:p>
            <w:r>
              <w:rPr>
                <w:b/>
                <w:color w:val="0F766E"/>
              </w:rPr>
              <w:t>Strengths</w:t>
            </w:r>
          </w:p>
          <w:p>
            <w:pPr>
              <w:spacing w:after="40"/>
            </w:pPr>
            <w:r>
              <w:t>• Low-cost kiosk model</w:t>
            </w:r>
          </w:p>
          <w:p>
            <w:pPr>
              <w:spacing w:after="40"/>
            </w:pPr>
            <w:r>
              <w:t>• Strong recipes</w:t>
            </w:r>
          </w:p>
        </w:tc>
        <w:tc>
          <w:tcPr>
            <w:tcW w:type="dxa" w:w="4819"/>
            <w:shd w:val="clear" w:color="auto" w:fill="CAE1DF"/>
          </w:tcPr>
          <w:p>
            <w:r>
              <w:rPr>
                <w:b/>
                <w:color w:val="0F766E"/>
              </w:rPr>
              <w:t>Weaknesses</w:t>
            </w:r>
          </w:p>
          <w:p>
            <w:pPr>
              <w:spacing w:after="40"/>
            </w:pPr>
            <w:r>
              <w:t>• New brand</w:t>
            </w:r>
          </w:p>
          <w:p>
            <w:pPr>
              <w:spacing w:after="40"/>
            </w:pPr>
            <w:r>
              <w:t>• Dependence on footfall</w:t>
            </w:r>
          </w:p>
        </w:tc>
      </w:tr>
      <w:tr>
        <w:tc>
          <w:tcPr>
            <w:tcW w:type="dxa" w:w="4819"/>
            <w:shd w:val="clear" w:color="auto" w:fill="CAE1DF"/>
          </w:tcPr>
          <w:p>
            <w:r>
              <w:rPr>
                <w:b/>
                <w:color w:val="0F766E"/>
              </w:rPr>
              <w:t>Opportunities</w:t>
            </w:r>
          </w:p>
          <w:p>
            <w:pPr>
              <w:spacing w:after="40"/>
            </w:pPr>
            <w:r>
              <w:t>• Office subscriptions</w:t>
            </w:r>
          </w:p>
          <w:p>
            <w:pPr>
              <w:spacing w:after="40"/>
            </w:pPr>
            <w:r>
              <w:t>• College tie-ups</w:t>
            </w:r>
          </w:p>
        </w:tc>
        <w:tc>
          <w:tcPr>
            <w:tcW w:type="dxa" w:w="4819"/>
            <w:shd w:val="clear" w:color="auto" w:fill="E7F1F0"/>
          </w:tcPr>
          <w:p>
            <w:r>
              <w:rPr>
                <w:b/>
                <w:color w:val="0F766E"/>
              </w:rPr>
              <w:t>Threats</w:t>
            </w:r>
          </w:p>
          <w:p>
            <w:pPr>
              <w:spacing w:after="40"/>
            </w:pPr>
            <w:r>
              <w:t>• Rent increases</w:t>
            </w:r>
          </w:p>
          <w:p>
            <w:pPr>
              <w:spacing w:after="40"/>
            </w:pPr>
            <w:r>
              <w:t>• Copycat brands</w:t>
            </w:r>
          </w:p>
        </w:tc>
      </w:tr>
    </w:tbl>
    <w:p/>
    <w:p>
      <w:pPr>
        <w:pStyle w:val="Heading1"/>
      </w:pPr>
      <w:r>
        <w:t>Marketing and Sales Strategy</w:t>
      </w:r>
    </w:p>
    <w:p>
      <w:pPr>
        <w:jc w:val="both"/>
      </w:pPr>
      <w:r>
        <w:t>We will grow through location choice and habit: loyalty stamps, student discounts and college fest sponsorships, supported by Instagram content.</w:t>
      </w:r>
    </w:p>
    <w:p>
      <w:pPr>
        <w:pStyle w:val="ListBullet"/>
      </w:pPr>
      <w:r>
        <w:t>Kiosks near colleges and IT parks</w:t>
      </w:r>
    </w:p>
    <w:p>
      <w:pPr>
        <w:pStyle w:val="ListBullet"/>
      </w:pPr>
      <w:r>
        <w:t>Loyalty app with stamp cards</w:t>
      </w:r>
    </w:p>
    <w:p>
      <w:pPr>
        <w:pStyle w:val="ListBullet"/>
      </w:pPr>
      <w:r>
        <w:t>Office flask subscriptions</w:t>
      </w:r>
    </w:p>
    <w:p>
      <w:pPr>
        <w:pStyle w:val="ListBullet"/>
      </w:pPr>
      <w:r>
        <w:t>College fest sponsorships</w:t>
      </w:r>
    </w:p>
    <w:p>
      <w:pPr>
        <w:pStyle w:val="Heading1"/>
      </w:pPr>
      <w:r>
        <w:t>Operations Plan</w:t>
      </w:r>
    </w:p>
    <w:p>
      <w:pPr>
        <w:jc w:val="both"/>
      </w:pPr>
      <w:r>
        <w:t>Each kiosk is run by two trained staff per shift, supplied twice daily from the central kitchen. Checklists cover hygiene, opening and closing.</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819"/>
        <w:gridCol w:w="2065"/>
        <w:gridCol w:w="2754"/>
      </w:tblGrid>
      <w:tr>
        <w:trPr>
          <w:tblHeader/>
        </w:trPr>
        <w:tc>
          <w:tcPr>
            <w:tcW w:type="dxa" w:w="4819"/>
            <w:vAlign w:val="center"/>
            <w:shd w:val="clear" w:color="auto" w:fill="0F766E"/>
          </w:tcPr>
          <w:p>
            <w:pPr>
              <w:spacing w:after="0"/>
            </w:pPr>
            <w:r/>
            <w:r>
              <w:rPr>
                <w:b/>
                <w:color w:val="FFFFFF"/>
                <w:sz w:val="20"/>
              </w:rPr>
              <w:t>Milestone</w:t>
            </w:r>
          </w:p>
        </w:tc>
        <w:tc>
          <w:tcPr>
            <w:tcW w:type="dxa" w:w="2065"/>
            <w:vAlign w:val="center"/>
            <w:shd w:val="clear" w:color="auto" w:fill="0F766E"/>
          </w:tcPr>
          <w:p>
            <w:pPr>
              <w:spacing w:after="0"/>
            </w:pPr>
            <w:r/>
            <w:r>
              <w:rPr>
                <w:b/>
                <w:color w:val="FFFFFF"/>
                <w:sz w:val="20"/>
              </w:rPr>
              <w:t>Target date</w:t>
            </w:r>
          </w:p>
        </w:tc>
        <w:tc>
          <w:tcPr>
            <w:tcW w:type="dxa" w:w="2754"/>
            <w:vAlign w:val="center"/>
            <w:shd w:val="clear" w:color="auto" w:fill="0F766E"/>
          </w:tcPr>
          <w:p>
            <w:pPr>
              <w:spacing w:after="0"/>
            </w:pPr>
            <w:r/>
            <w:r>
              <w:rPr>
                <w:b/>
                <w:color w:val="FFFFFF"/>
                <w:sz w:val="20"/>
              </w:rPr>
              <w:t>Owner</w:t>
            </w:r>
          </w:p>
        </w:tc>
      </w:tr>
      <w:tr>
        <w:tc>
          <w:tcPr>
            <w:tcW w:type="dxa" w:w="4819"/>
            <w:vAlign w:val="center"/>
          </w:tcPr>
          <w:p>
            <w:pPr>
              <w:spacing w:after="0"/>
            </w:pPr>
            <w:r/>
            <w:r>
              <w:rPr>
                <w:sz w:val="20"/>
              </w:rPr>
              <w:t>First 4 kiosks open</w:t>
            </w:r>
          </w:p>
        </w:tc>
        <w:tc>
          <w:tcPr>
            <w:tcW w:type="dxa" w:w="2065"/>
            <w:vAlign w:val="center"/>
          </w:tcPr>
          <w:p>
            <w:pPr>
              <w:spacing w:after="0"/>
            </w:pPr>
            <w:r/>
            <w:r>
              <w:rPr>
                <w:sz w:val="20"/>
              </w:rPr>
              <w:t>Q2 2026</w:t>
            </w:r>
          </w:p>
        </w:tc>
        <w:tc>
          <w:tcPr>
            <w:tcW w:type="dxa" w:w="2754"/>
            <w:vAlign w:val="center"/>
          </w:tcPr>
          <w:p>
            <w:pPr>
              <w:spacing w:after="0"/>
            </w:pPr>
            <w:r/>
            <w:r>
              <w:rPr>
                <w:sz w:val="20"/>
              </w:rPr>
              <w:t>Operations</w:t>
            </w:r>
          </w:p>
        </w:tc>
      </w:tr>
      <w:tr>
        <w:tc>
          <w:tcPr>
            <w:tcW w:type="dxa" w:w="4819"/>
            <w:vAlign w:val="center"/>
            <w:shd w:val="clear" w:color="auto" w:fill="E7F1F0"/>
          </w:tcPr>
          <w:p>
            <w:pPr>
              <w:spacing w:after="0"/>
            </w:pPr>
            <w:r/>
            <w:r>
              <w:rPr>
                <w:sz w:val="20"/>
              </w:rPr>
              <w:t>Central kitchen upgraded</w:t>
            </w:r>
          </w:p>
        </w:tc>
        <w:tc>
          <w:tcPr>
            <w:tcW w:type="dxa" w:w="2065"/>
            <w:vAlign w:val="center"/>
            <w:shd w:val="clear" w:color="auto" w:fill="E7F1F0"/>
          </w:tcPr>
          <w:p>
            <w:pPr>
              <w:spacing w:after="0"/>
            </w:pPr>
            <w:r/>
            <w:r>
              <w:rPr>
                <w:sz w:val="20"/>
              </w:rPr>
              <w:t>Q4 2026</w:t>
            </w:r>
          </w:p>
        </w:tc>
        <w:tc>
          <w:tcPr>
            <w:tcW w:type="dxa" w:w="2754"/>
            <w:vAlign w:val="center"/>
            <w:shd w:val="clear" w:color="auto" w:fill="E7F1F0"/>
          </w:tcPr>
          <w:p>
            <w:pPr>
              <w:spacing w:after="0"/>
            </w:pPr>
            <w:r/>
            <w:r>
              <w:rPr>
                <w:sz w:val="20"/>
              </w:rPr>
              <w:t>Operations</w:t>
            </w:r>
          </w:p>
        </w:tc>
      </w:tr>
      <w:tr>
        <w:tc>
          <w:tcPr>
            <w:tcW w:type="dxa" w:w="4819"/>
            <w:vAlign w:val="center"/>
          </w:tcPr>
          <w:p>
            <w:pPr>
              <w:spacing w:after="0"/>
            </w:pPr>
            <w:r/>
            <w:r>
              <w:rPr>
                <w:sz w:val="20"/>
              </w:rPr>
              <w:t>Office subscriptions reach 100 offices</w:t>
            </w:r>
          </w:p>
        </w:tc>
        <w:tc>
          <w:tcPr>
            <w:tcW w:type="dxa" w:w="2065"/>
            <w:vAlign w:val="center"/>
          </w:tcPr>
          <w:p>
            <w:pPr>
              <w:spacing w:after="0"/>
            </w:pPr>
            <w:r/>
            <w:r>
              <w:rPr>
                <w:sz w:val="20"/>
              </w:rPr>
              <w:t>Q2 2027</w:t>
            </w:r>
          </w:p>
        </w:tc>
        <w:tc>
          <w:tcPr>
            <w:tcW w:type="dxa" w:w="2754"/>
            <w:vAlign w:val="center"/>
          </w:tcPr>
          <w:p>
            <w:pPr>
              <w:spacing w:after="0"/>
            </w:pPr>
            <w:r/>
            <w:r>
              <w:rPr>
                <w:sz w:val="20"/>
              </w:rPr>
              <w:t>Sales</w:t>
            </w:r>
          </w:p>
        </w:tc>
      </w:tr>
      <w:tr>
        <w:tc>
          <w:tcPr>
            <w:tcW w:type="dxa" w:w="4819"/>
            <w:vAlign w:val="center"/>
            <w:shd w:val="clear" w:color="auto" w:fill="E7F1F0"/>
          </w:tcPr>
          <w:p>
            <w:pPr>
              <w:spacing w:after="0"/>
            </w:pPr>
            <w:r/>
            <w:r>
              <w:rPr>
                <w:sz w:val="20"/>
              </w:rPr>
              <w:t>25 kiosks across Pune</w:t>
            </w:r>
          </w:p>
        </w:tc>
        <w:tc>
          <w:tcPr>
            <w:tcW w:type="dxa" w:w="2065"/>
            <w:vAlign w:val="center"/>
            <w:shd w:val="clear" w:color="auto" w:fill="E7F1F0"/>
          </w:tcPr>
          <w:p>
            <w:pPr>
              <w:spacing w:after="0"/>
            </w:pPr>
            <w:r/>
            <w:r>
              <w:rPr>
                <w:sz w:val="20"/>
              </w:rPr>
              <w:t>Q1 2029</w:t>
            </w:r>
          </w:p>
        </w:tc>
        <w:tc>
          <w:tcPr>
            <w:tcW w:type="dxa" w:w="2754"/>
            <w:vAlign w:val="center"/>
            <w:shd w:val="clear" w:color="auto" w:fill="E7F1F0"/>
          </w:tcPr>
          <w:p>
            <w:pPr>
              <w:spacing w:after="0"/>
            </w:pPr>
            <w:r/>
            <w:r>
              <w:rPr>
                <w:sz w:val="20"/>
              </w:rPr>
              <w:t>Founders</w:t>
            </w:r>
          </w:p>
        </w:tc>
      </w:tr>
    </w:tbl>
    <w:p>
      <w:pPr>
        <w:spacing w:after="80"/>
      </w:pPr>
    </w:p>
    <w:p>
      <w:pPr>
        <w:pStyle w:val="Heading1"/>
      </w:pPr>
      <w:r>
        <w:t>Management Team</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26"/>
        <w:gridCol w:w="2326"/>
        <w:gridCol w:w="4985"/>
      </w:tblGrid>
      <w:tr>
        <w:trPr>
          <w:tblHeader/>
        </w:trPr>
        <w:tc>
          <w:tcPr>
            <w:tcW w:type="dxa" w:w="2326"/>
            <w:vAlign w:val="center"/>
            <w:shd w:val="clear" w:color="auto" w:fill="0F766E"/>
          </w:tcPr>
          <w:p>
            <w:pPr>
              <w:spacing w:after="0"/>
            </w:pPr>
            <w:r/>
            <w:r>
              <w:rPr>
                <w:b/>
                <w:color w:val="FFFFFF"/>
                <w:sz w:val="20"/>
              </w:rPr>
              <w:t>Name</w:t>
            </w:r>
          </w:p>
        </w:tc>
        <w:tc>
          <w:tcPr>
            <w:tcW w:type="dxa" w:w="2326"/>
            <w:vAlign w:val="center"/>
            <w:shd w:val="clear" w:color="auto" w:fill="0F766E"/>
          </w:tcPr>
          <w:p>
            <w:pPr>
              <w:spacing w:after="0"/>
            </w:pPr>
            <w:r/>
            <w:r>
              <w:rPr>
                <w:b/>
                <w:color w:val="FFFFFF"/>
                <w:sz w:val="20"/>
              </w:rPr>
              <w:t>Role</w:t>
            </w:r>
          </w:p>
        </w:tc>
        <w:tc>
          <w:tcPr>
            <w:tcW w:type="dxa" w:w="4985"/>
            <w:vAlign w:val="center"/>
            <w:shd w:val="clear" w:color="auto" w:fill="0F766E"/>
          </w:tcPr>
          <w:p>
            <w:pPr>
              <w:spacing w:after="0"/>
            </w:pPr>
            <w:r/>
            <w:r>
              <w:rPr>
                <w:b/>
                <w:color w:val="FFFFFF"/>
                <w:sz w:val="20"/>
              </w:rPr>
              <w:t>Background</w:t>
            </w:r>
          </w:p>
        </w:tc>
      </w:tr>
      <w:tr>
        <w:tc>
          <w:tcPr>
            <w:tcW w:type="dxa" w:w="2326"/>
            <w:vAlign w:val="center"/>
          </w:tcPr>
          <w:p>
            <w:pPr>
              <w:spacing w:after="0"/>
            </w:pPr>
            <w:r/>
            <w:r>
              <w:rPr>
                <w:sz w:val="20"/>
              </w:rPr>
              <w:t>Rohit Kale</w:t>
            </w:r>
          </w:p>
        </w:tc>
        <w:tc>
          <w:tcPr>
            <w:tcW w:type="dxa" w:w="2326"/>
            <w:vAlign w:val="center"/>
          </w:tcPr>
          <w:p>
            <w:pPr>
              <w:spacing w:after="0"/>
            </w:pPr>
            <w:r/>
            <w:r>
              <w:rPr>
                <w:sz w:val="20"/>
              </w:rPr>
              <w:t>Founder &amp; CEO</w:t>
            </w:r>
          </w:p>
        </w:tc>
        <w:tc>
          <w:tcPr>
            <w:tcW w:type="dxa" w:w="4985"/>
            <w:vAlign w:val="center"/>
          </w:tcPr>
          <w:p>
            <w:pPr>
              <w:spacing w:after="0"/>
            </w:pPr>
            <w:r/>
            <w:r>
              <w:rPr>
                <w:sz w:val="20"/>
              </w:rPr>
              <w:t>Ran a café chain franchise for 6 years</w:t>
            </w:r>
          </w:p>
        </w:tc>
      </w:tr>
      <w:tr>
        <w:tc>
          <w:tcPr>
            <w:tcW w:type="dxa" w:w="2326"/>
            <w:vAlign w:val="center"/>
            <w:shd w:val="clear" w:color="auto" w:fill="E7F1F0"/>
          </w:tcPr>
          <w:p>
            <w:pPr>
              <w:spacing w:after="0"/>
            </w:pPr>
            <w:r/>
            <w:r>
              <w:rPr>
                <w:sz w:val="20"/>
              </w:rPr>
              <w:t>Sana Mulla</w:t>
            </w:r>
          </w:p>
        </w:tc>
        <w:tc>
          <w:tcPr>
            <w:tcW w:type="dxa" w:w="2326"/>
            <w:vAlign w:val="center"/>
            <w:shd w:val="clear" w:color="auto" w:fill="E7F1F0"/>
          </w:tcPr>
          <w:p>
            <w:pPr>
              <w:spacing w:after="0"/>
            </w:pPr>
            <w:r/>
            <w:r>
              <w:rPr>
                <w:sz w:val="20"/>
              </w:rPr>
              <w:t>Operations head</w:t>
            </w:r>
          </w:p>
        </w:tc>
        <w:tc>
          <w:tcPr>
            <w:tcW w:type="dxa" w:w="4985"/>
            <w:vAlign w:val="center"/>
            <w:shd w:val="clear" w:color="auto" w:fill="E7F1F0"/>
          </w:tcPr>
          <w:p>
            <w:pPr>
              <w:spacing w:after="0"/>
            </w:pPr>
            <w:r/>
            <w:r>
              <w:rPr>
                <w:sz w:val="20"/>
              </w:rPr>
              <w:t>Hotel management graduate, central kitchens</w:t>
            </w:r>
          </w:p>
        </w:tc>
      </w:tr>
      <w:tr>
        <w:tc>
          <w:tcPr>
            <w:tcW w:type="dxa" w:w="2326"/>
            <w:vAlign w:val="center"/>
          </w:tcPr>
          <w:p>
            <w:pPr>
              <w:spacing w:after="0"/>
            </w:pPr>
            <w:r/>
            <w:r>
              <w:rPr>
                <w:sz w:val="20"/>
              </w:rPr>
              <w:t>Varun Iyer</w:t>
            </w:r>
          </w:p>
        </w:tc>
        <w:tc>
          <w:tcPr>
            <w:tcW w:type="dxa" w:w="2326"/>
            <w:vAlign w:val="center"/>
          </w:tcPr>
          <w:p>
            <w:pPr>
              <w:spacing w:after="0"/>
            </w:pPr>
            <w:r/>
            <w:r>
              <w:rPr>
                <w:sz w:val="20"/>
              </w:rPr>
              <w:t>Finance &amp; tech</w:t>
            </w:r>
          </w:p>
        </w:tc>
        <w:tc>
          <w:tcPr>
            <w:tcW w:type="dxa" w:w="4985"/>
            <w:vAlign w:val="center"/>
          </w:tcPr>
          <w:p>
            <w:pPr>
              <w:spacing w:after="0"/>
            </w:pPr>
            <w:r/>
            <w:r>
              <w:rPr>
                <w:sz w:val="20"/>
              </w:rPr>
              <w:t>Chartered accountant, POS systems</w:t>
            </w:r>
          </w:p>
        </w:tc>
      </w:tr>
    </w:tbl>
    <w:p>
      <w:pPr>
        <w:spacing w:after="80"/>
      </w:pPr>
    </w:p>
    <w:p>
      <w:pPr>
        <w:pStyle w:val="Heading1"/>
      </w:pPr>
      <w:r>
        <w:t>Financial Plan</w:t>
      </w:r>
    </w:p>
    <w:p>
      <w:pPr>
        <w:jc w:val="both"/>
      </w:pPr>
      <w:r>
        <w:t>The projections below are sample figures that show the structure of a financial plan. Replace them with your own estimates and assumptions.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442"/>
        <w:gridCol w:w="2065"/>
        <w:gridCol w:w="2065"/>
        <w:gridCol w:w="2065"/>
      </w:tblGrid>
      <w:tr>
        <w:trPr>
          <w:tblHeader/>
        </w:trPr>
        <w:tc>
          <w:tcPr>
            <w:tcW w:type="dxa" w:w="3442"/>
            <w:vAlign w:val="center"/>
            <w:shd w:val="clear" w:color="auto" w:fill="0F766E"/>
          </w:tcPr>
          <w:p>
            <w:pPr>
              <w:spacing w:after="0"/>
              <w:jc w:val="left"/>
            </w:pPr>
            <w:r/>
            <w:r>
              <w:rPr>
                <w:b/>
                <w:color w:val="FFFFFF"/>
                <w:sz w:val="20"/>
              </w:rPr>
              <w:t>(₹ lakh)</w:t>
            </w:r>
          </w:p>
        </w:tc>
        <w:tc>
          <w:tcPr>
            <w:tcW w:type="dxa" w:w="2065"/>
            <w:vAlign w:val="center"/>
            <w:shd w:val="clear" w:color="auto" w:fill="0F766E"/>
          </w:tcPr>
          <w:p>
            <w:pPr>
              <w:spacing w:after="0"/>
              <w:jc w:val="right"/>
            </w:pPr>
            <w:r/>
            <w:r>
              <w:rPr>
                <w:b/>
                <w:color w:val="FFFFFF"/>
                <w:sz w:val="20"/>
              </w:rPr>
              <w:t>FY 2026–27</w:t>
            </w:r>
          </w:p>
        </w:tc>
        <w:tc>
          <w:tcPr>
            <w:tcW w:type="dxa" w:w="2065"/>
            <w:vAlign w:val="center"/>
            <w:shd w:val="clear" w:color="auto" w:fill="0F766E"/>
          </w:tcPr>
          <w:p>
            <w:pPr>
              <w:spacing w:after="0"/>
              <w:jc w:val="right"/>
            </w:pPr>
            <w:r/>
            <w:r>
              <w:rPr>
                <w:b/>
                <w:color w:val="FFFFFF"/>
                <w:sz w:val="20"/>
              </w:rPr>
              <w:t>FY 2027–28</w:t>
            </w:r>
          </w:p>
        </w:tc>
        <w:tc>
          <w:tcPr>
            <w:tcW w:type="dxa" w:w="2065"/>
            <w:vAlign w:val="center"/>
            <w:shd w:val="clear" w:color="auto" w:fill="0F766E"/>
          </w:tcPr>
          <w:p>
            <w:pPr>
              <w:spacing w:after="0"/>
              <w:jc w:val="right"/>
            </w:pPr>
            <w:r/>
            <w:r>
              <w:rPr>
                <w:b/>
                <w:color w:val="FFFFFF"/>
                <w:sz w:val="20"/>
              </w:rPr>
              <w:t>FY 2028–29</w:t>
            </w:r>
          </w:p>
        </w:tc>
      </w:tr>
      <w:tr>
        <w:tc>
          <w:tcPr>
            <w:tcW w:type="dxa" w:w="3442"/>
            <w:vAlign w:val="center"/>
          </w:tcPr>
          <w:p>
            <w:pPr>
              <w:spacing w:after="0"/>
              <w:jc w:val="left"/>
            </w:pPr>
            <w:r/>
            <w:r>
              <w:rPr>
                <w:sz w:val="20"/>
              </w:rPr>
              <w:t>Revenue</w:t>
            </w:r>
          </w:p>
        </w:tc>
        <w:tc>
          <w:tcPr>
            <w:tcW w:type="dxa" w:w="2065"/>
            <w:vAlign w:val="center"/>
          </w:tcPr>
          <w:p>
            <w:pPr>
              <w:spacing w:after="0"/>
              <w:jc w:val="right"/>
            </w:pPr>
            <w:r/>
            <w:r>
              <w:rPr>
                <w:sz w:val="20"/>
              </w:rPr>
              <w:t>110</w:t>
            </w:r>
          </w:p>
        </w:tc>
        <w:tc>
          <w:tcPr>
            <w:tcW w:type="dxa" w:w="2065"/>
            <w:vAlign w:val="center"/>
          </w:tcPr>
          <w:p>
            <w:pPr>
              <w:spacing w:after="0"/>
              <w:jc w:val="right"/>
            </w:pPr>
            <w:r/>
            <w:r>
              <w:rPr>
                <w:sz w:val="20"/>
              </w:rPr>
              <w:t>360</w:t>
            </w:r>
          </w:p>
        </w:tc>
        <w:tc>
          <w:tcPr>
            <w:tcW w:type="dxa" w:w="2065"/>
            <w:vAlign w:val="center"/>
          </w:tcPr>
          <w:p>
            <w:pPr>
              <w:spacing w:after="0"/>
              <w:jc w:val="right"/>
            </w:pPr>
            <w:r/>
            <w:r>
              <w:rPr>
                <w:sz w:val="20"/>
              </w:rPr>
              <w:t>780</w:t>
            </w:r>
          </w:p>
        </w:tc>
      </w:tr>
      <w:tr>
        <w:tc>
          <w:tcPr>
            <w:tcW w:type="dxa" w:w="3442"/>
            <w:vAlign w:val="center"/>
            <w:shd w:val="clear" w:color="auto" w:fill="E7F1F0"/>
          </w:tcPr>
          <w:p>
            <w:pPr>
              <w:spacing w:after="0"/>
              <w:jc w:val="left"/>
            </w:pPr>
            <w:r/>
            <w:r>
              <w:rPr>
                <w:sz w:val="20"/>
              </w:rPr>
              <w:t>Cost of goods</w:t>
            </w:r>
          </w:p>
        </w:tc>
        <w:tc>
          <w:tcPr>
            <w:tcW w:type="dxa" w:w="2065"/>
            <w:vAlign w:val="center"/>
            <w:shd w:val="clear" w:color="auto" w:fill="E7F1F0"/>
          </w:tcPr>
          <w:p>
            <w:pPr>
              <w:spacing w:after="0"/>
              <w:jc w:val="right"/>
            </w:pPr>
            <w:r/>
            <w:r>
              <w:rPr>
                <w:sz w:val="20"/>
              </w:rPr>
              <w:t>36</w:t>
            </w:r>
          </w:p>
        </w:tc>
        <w:tc>
          <w:tcPr>
            <w:tcW w:type="dxa" w:w="2065"/>
            <w:vAlign w:val="center"/>
            <w:shd w:val="clear" w:color="auto" w:fill="E7F1F0"/>
          </w:tcPr>
          <w:p>
            <w:pPr>
              <w:spacing w:after="0"/>
              <w:jc w:val="right"/>
            </w:pPr>
            <w:r/>
            <w:r>
              <w:rPr>
                <w:sz w:val="20"/>
              </w:rPr>
              <w:t>115</w:t>
            </w:r>
          </w:p>
        </w:tc>
        <w:tc>
          <w:tcPr>
            <w:tcW w:type="dxa" w:w="2065"/>
            <w:vAlign w:val="center"/>
            <w:shd w:val="clear" w:color="auto" w:fill="E7F1F0"/>
          </w:tcPr>
          <w:p>
            <w:pPr>
              <w:spacing w:after="0"/>
              <w:jc w:val="right"/>
            </w:pPr>
            <w:r/>
            <w:r>
              <w:rPr>
                <w:sz w:val="20"/>
              </w:rPr>
              <w:t>245</w:t>
            </w:r>
          </w:p>
        </w:tc>
      </w:tr>
      <w:tr>
        <w:tc>
          <w:tcPr>
            <w:tcW w:type="dxa" w:w="3442"/>
            <w:vAlign w:val="center"/>
          </w:tcPr>
          <w:p>
            <w:pPr>
              <w:spacing w:after="0"/>
              <w:jc w:val="left"/>
            </w:pPr>
            <w:r/>
            <w:r>
              <w:rPr>
                <w:sz w:val="20"/>
              </w:rPr>
              <w:t>Gross profit</w:t>
            </w:r>
          </w:p>
        </w:tc>
        <w:tc>
          <w:tcPr>
            <w:tcW w:type="dxa" w:w="2065"/>
            <w:vAlign w:val="center"/>
          </w:tcPr>
          <w:p>
            <w:pPr>
              <w:spacing w:after="0"/>
              <w:jc w:val="right"/>
            </w:pPr>
            <w:r/>
            <w:r>
              <w:rPr>
                <w:sz w:val="20"/>
              </w:rPr>
              <w:t>74</w:t>
            </w:r>
          </w:p>
        </w:tc>
        <w:tc>
          <w:tcPr>
            <w:tcW w:type="dxa" w:w="2065"/>
            <w:vAlign w:val="center"/>
          </w:tcPr>
          <w:p>
            <w:pPr>
              <w:spacing w:after="0"/>
              <w:jc w:val="right"/>
            </w:pPr>
            <w:r/>
            <w:r>
              <w:rPr>
                <w:sz w:val="20"/>
              </w:rPr>
              <w:t>245</w:t>
            </w:r>
          </w:p>
        </w:tc>
        <w:tc>
          <w:tcPr>
            <w:tcW w:type="dxa" w:w="2065"/>
            <w:vAlign w:val="center"/>
          </w:tcPr>
          <w:p>
            <w:pPr>
              <w:spacing w:after="0"/>
              <w:jc w:val="right"/>
            </w:pPr>
            <w:r/>
            <w:r>
              <w:rPr>
                <w:sz w:val="20"/>
              </w:rPr>
              <w:t>535</w:t>
            </w:r>
          </w:p>
        </w:tc>
      </w:tr>
      <w:tr>
        <w:tc>
          <w:tcPr>
            <w:tcW w:type="dxa" w:w="3442"/>
            <w:vAlign w:val="center"/>
            <w:shd w:val="clear" w:color="auto" w:fill="E7F1F0"/>
          </w:tcPr>
          <w:p>
            <w:pPr>
              <w:spacing w:after="0"/>
              <w:jc w:val="left"/>
            </w:pPr>
            <w:r/>
            <w:r>
              <w:rPr>
                <w:sz w:val="20"/>
              </w:rPr>
              <w:t>Operating expenses</w:t>
            </w:r>
          </w:p>
        </w:tc>
        <w:tc>
          <w:tcPr>
            <w:tcW w:type="dxa" w:w="2065"/>
            <w:vAlign w:val="center"/>
            <w:shd w:val="clear" w:color="auto" w:fill="E7F1F0"/>
          </w:tcPr>
          <w:p>
            <w:pPr>
              <w:spacing w:after="0"/>
              <w:jc w:val="right"/>
            </w:pPr>
            <w:r/>
            <w:r>
              <w:rPr>
                <w:sz w:val="20"/>
              </w:rPr>
              <w:t>82</w:t>
            </w:r>
          </w:p>
        </w:tc>
        <w:tc>
          <w:tcPr>
            <w:tcW w:type="dxa" w:w="2065"/>
            <w:vAlign w:val="center"/>
            <w:shd w:val="clear" w:color="auto" w:fill="E7F1F0"/>
          </w:tcPr>
          <w:p>
            <w:pPr>
              <w:spacing w:after="0"/>
              <w:jc w:val="right"/>
            </w:pPr>
            <w:r/>
            <w:r>
              <w:rPr>
                <w:sz w:val="20"/>
              </w:rPr>
              <w:t>190</w:t>
            </w:r>
          </w:p>
        </w:tc>
        <w:tc>
          <w:tcPr>
            <w:tcW w:type="dxa" w:w="2065"/>
            <w:vAlign w:val="center"/>
            <w:shd w:val="clear" w:color="auto" w:fill="E7F1F0"/>
          </w:tcPr>
          <w:p>
            <w:pPr>
              <w:spacing w:after="0"/>
              <w:jc w:val="right"/>
            </w:pPr>
            <w:r/>
            <w:r>
              <w:rPr>
                <w:sz w:val="20"/>
              </w:rPr>
              <w:t>380</w:t>
            </w:r>
          </w:p>
        </w:tc>
      </w:tr>
      <w:tr>
        <w:tc>
          <w:tcPr>
            <w:tcW w:type="dxa" w:w="3442"/>
            <w:vAlign w:val="center"/>
          </w:tcPr>
          <w:p>
            <w:pPr>
              <w:spacing w:after="0"/>
              <w:jc w:val="left"/>
            </w:pPr>
            <w:r/>
            <w:r>
              <w:rPr>
                <w:sz w:val="20"/>
              </w:rPr>
              <w:t>Net profit / (loss)</w:t>
            </w:r>
          </w:p>
        </w:tc>
        <w:tc>
          <w:tcPr>
            <w:tcW w:type="dxa" w:w="2065"/>
            <w:vAlign w:val="center"/>
          </w:tcPr>
          <w:p>
            <w:pPr>
              <w:spacing w:after="0"/>
              <w:jc w:val="right"/>
            </w:pPr>
            <w:r/>
            <w:r>
              <w:rPr>
                <w:sz w:val="20"/>
              </w:rPr>
              <w:t>(8)</w:t>
            </w:r>
          </w:p>
        </w:tc>
        <w:tc>
          <w:tcPr>
            <w:tcW w:type="dxa" w:w="2065"/>
            <w:vAlign w:val="center"/>
          </w:tcPr>
          <w:p>
            <w:pPr>
              <w:spacing w:after="0"/>
              <w:jc w:val="right"/>
            </w:pPr>
            <w:r/>
            <w:r>
              <w:rPr>
                <w:sz w:val="20"/>
              </w:rPr>
              <w:t>55</w:t>
            </w:r>
          </w:p>
        </w:tc>
        <w:tc>
          <w:tcPr>
            <w:tcW w:type="dxa" w:w="2065"/>
            <w:vAlign w:val="center"/>
          </w:tcPr>
          <w:p>
            <w:pPr>
              <w:spacing w:after="0"/>
              <w:jc w:val="right"/>
            </w:pPr>
            <w:r/>
            <w:r>
              <w:rPr>
                <w:sz w:val="20"/>
              </w:rPr>
              <w:t>155</w:t>
            </w:r>
          </w:p>
        </w:tc>
      </w:tr>
    </w:tbl>
    <w:p>
      <w:pPr>
        <w:spacing w:after="80"/>
      </w:pPr>
    </w:p>
    <w:p>
      <w:pPr>
        <w:pStyle w:val="Heading2"/>
      </w:pPr>
      <w:r>
        <w:t>Funding Requirement</w:t>
      </w:r>
    </w:p>
    <w:p>
      <w:pPr>
        <w:jc w:val="both"/>
      </w:pPr>
      <w:r>
        <w:t>We are seeking ₹1.5 crore to open 10 kiosks, upgrade the central kitchen and build the loyalty app over 18 months.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6885"/>
        <w:gridCol w:w="2754"/>
      </w:tblGrid>
      <w:tr>
        <w:trPr>
          <w:tblHeader/>
        </w:trPr>
        <w:tc>
          <w:tcPr>
            <w:tcW w:type="dxa" w:w="6884"/>
            <w:vAlign w:val="center"/>
            <w:shd w:val="clear" w:color="auto" w:fill="0F766E"/>
          </w:tcPr>
          <w:p>
            <w:pPr>
              <w:spacing w:after="0"/>
            </w:pPr>
            <w:r/>
            <w:r>
              <w:rPr>
                <w:b/>
                <w:color w:val="FFFFFF"/>
                <w:sz w:val="20"/>
              </w:rPr>
              <w:t>Use of funds</w:t>
            </w:r>
          </w:p>
        </w:tc>
        <w:tc>
          <w:tcPr>
            <w:tcW w:type="dxa" w:w="2754"/>
            <w:vAlign w:val="center"/>
            <w:shd w:val="clear" w:color="auto" w:fill="0F766E"/>
          </w:tcPr>
          <w:p>
            <w:pPr>
              <w:spacing w:after="0"/>
            </w:pPr>
            <w:r/>
            <w:r>
              <w:rPr>
                <w:b/>
                <w:color w:val="FFFFFF"/>
                <w:sz w:val="20"/>
              </w:rPr>
              <w:t>Share</w:t>
            </w:r>
          </w:p>
        </w:tc>
      </w:tr>
      <w:tr>
        <w:tc>
          <w:tcPr>
            <w:tcW w:type="dxa" w:w="6884"/>
            <w:vAlign w:val="center"/>
          </w:tcPr>
          <w:p>
            <w:pPr>
              <w:spacing w:after="0"/>
            </w:pPr>
            <w:r/>
            <w:r>
              <w:rPr>
                <w:sz w:val="20"/>
              </w:rPr>
              <w:t>New kiosks and equipment</w:t>
            </w:r>
          </w:p>
        </w:tc>
        <w:tc>
          <w:tcPr>
            <w:tcW w:type="dxa" w:w="2754"/>
            <w:vAlign w:val="center"/>
          </w:tcPr>
          <w:p>
            <w:pPr>
              <w:spacing w:after="0"/>
            </w:pPr>
            <w:r/>
            <w:r>
              <w:rPr>
                <w:sz w:val="20"/>
              </w:rPr>
              <w:t>50%</w:t>
            </w:r>
          </w:p>
        </w:tc>
      </w:tr>
      <w:tr>
        <w:tc>
          <w:tcPr>
            <w:tcW w:type="dxa" w:w="6884"/>
            <w:vAlign w:val="center"/>
            <w:shd w:val="clear" w:color="auto" w:fill="E7F1F0"/>
          </w:tcPr>
          <w:p>
            <w:pPr>
              <w:spacing w:after="0"/>
            </w:pPr>
            <w:r/>
            <w:r>
              <w:rPr>
                <w:sz w:val="20"/>
              </w:rPr>
              <w:t>Central kitchen</w:t>
            </w:r>
          </w:p>
        </w:tc>
        <w:tc>
          <w:tcPr>
            <w:tcW w:type="dxa" w:w="2754"/>
            <w:vAlign w:val="center"/>
            <w:shd w:val="clear" w:color="auto" w:fill="E7F1F0"/>
          </w:tcPr>
          <w:p>
            <w:pPr>
              <w:spacing w:after="0"/>
            </w:pPr>
            <w:r/>
            <w:r>
              <w:rPr>
                <w:sz w:val="20"/>
              </w:rPr>
              <w:t>20%</w:t>
            </w:r>
          </w:p>
        </w:tc>
      </w:tr>
      <w:tr>
        <w:tc>
          <w:tcPr>
            <w:tcW w:type="dxa" w:w="6884"/>
            <w:vAlign w:val="center"/>
          </w:tcPr>
          <w:p>
            <w:pPr>
              <w:spacing w:after="0"/>
            </w:pPr>
            <w:r/>
            <w:r>
              <w:rPr>
                <w:sz w:val="20"/>
              </w:rPr>
              <w:t>App and marketing</w:t>
            </w:r>
          </w:p>
        </w:tc>
        <w:tc>
          <w:tcPr>
            <w:tcW w:type="dxa" w:w="2754"/>
            <w:vAlign w:val="center"/>
          </w:tcPr>
          <w:p>
            <w:pPr>
              <w:spacing w:after="0"/>
            </w:pPr>
            <w:r/>
            <w:r>
              <w:rPr>
                <w:sz w:val="20"/>
              </w:rPr>
              <w:t>20%</w:t>
            </w:r>
          </w:p>
        </w:tc>
      </w:tr>
      <w:tr>
        <w:tc>
          <w:tcPr>
            <w:tcW w:type="dxa" w:w="6884"/>
            <w:vAlign w:val="center"/>
            <w:shd w:val="clear" w:color="auto" w:fill="E7F1F0"/>
          </w:tcPr>
          <w:p>
            <w:pPr>
              <w:spacing w:after="0"/>
            </w:pPr>
            <w:r/>
            <w:r>
              <w:rPr>
                <w:sz w:val="20"/>
              </w:rPr>
              <w:t>Working capital</w:t>
            </w:r>
          </w:p>
        </w:tc>
        <w:tc>
          <w:tcPr>
            <w:tcW w:type="dxa" w:w="2754"/>
            <w:vAlign w:val="center"/>
            <w:shd w:val="clear" w:color="auto" w:fill="E7F1F0"/>
          </w:tcPr>
          <w:p>
            <w:pPr>
              <w:spacing w:after="0"/>
            </w:pPr>
            <w:r/>
            <w:r>
              <w:rPr>
                <w:sz w:val="20"/>
              </w:rPr>
              <w:t>10%</w:t>
            </w:r>
          </w:p>
        </w:tc>
      </w:tr>
    </w:tbl>
    <w:p>
      <w:pPr>
        <w:spacing w:after="80"/>
      </w:pPr>
    </w:p>
    <w:p>
      <w:pPr>
        <w:pStyle w:val="Heading1"/>
      </w:pPr>
      <w:r>
        <w:t>Risks and Mitigation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991"/>
        <w:gridCol w:w="1661"/>
        <w:gridCol w:w="4985"/>
      </w:tblGrid>
      <w:tr>
        <w:trPr>
          <w:tblHeader/>
        </w:trPr>
        <w:tc>
          <w:tcPr>
            <w:tcW w:type="dxa" w:w="2991"/>
            <w:vAlign w:val="center"/>
            <w:shd w:val="clear" w:color="auto" w:fill="0F766E"/>
          </w:tcPr>
          <w:p>
            <w:pPr>
              <w:spacing w:after="0"/>
            </w:pPr>
            <w:r/>
            <w:r>
              <w:rPr>
                <w:b/>
                <w:color w:val="FFFFFF"/>
                <w:sz w:val="20"/>
              </w:rPr>
              <w:t>Risk</w:t>
            </w:r>
          </w:p>
        </w:tc>
        <w:tc>
          <w:tcPr>
            <w:tcW w:type="dxa" w:w="1662"/>
            <w:vAlign w:val="center"/>
            <w:shd w:val="clear" w:color="auto" w:fill="0F766E"/>
          </w:tcPr>
          <w:p>
            <w:pPr>
              <w:spacing w:after="0"/>
            </w:pPr>
            <w:r/>
            <w:r>
              <w:rPr>
                <w:b/>
                <w:color w:val="FFFFFF"/>
                <w:sz w:val="20"/>
              </w:rPr>
              <w:t>Impact</w:t>
            </w:r>
          </w:p>
        </w:tc>
        <w:tc>
          <w:tcPr>
            <w:tcW w:type="dxa" w:w="4985"/>
            <w:vAlign w:val="center"/>
            <w:shd w:val="clear" w:color="auto" w:fill="0F766E"/>
          </w:tcPr>
          <w:p>
            <w:pPr>
              <w:spacing w:after="0"/>
            </w:pPr>
            <w:r/>
            <w:r>
              <w:rPr>
                <w:b/>
                <w:color w:val="FFFFFF"/>
                <w:sz w:val="20"/>
              </w:rPr>
              <w:t>Mitigation</w:t>
            </w:r>
          </w:p>
        </w:tc>
      </w:tr>
      <w:tr>
        <w:tc>
          <w:tcPr>
            <w:tcW w:type="dxa" w:w="2991"/>
            <w:vAlign w:val="center"/>
          </w:tcPr>
          <w:p>
            <w:pPr>
              <w:spacing w:after="0"/>
            </w:pPr>
            <w:r/>
            <w:r>
              <w:rPr>
                <w:sz w:val="20"/>
              </w:rPr>
              <w:t>Low footfall at a new site</w:t>
            </w:r>
          </w:p>
        </w:tc>
        <w:tc>
          <w:tcPr>
            <w:tcW w:type="dxa" w:w="1662"/>
            <w:vAlign w:val="center"/>
          </w:tcPr>
          <w:p>
            <w:pPr>
              <w:spacing w:after="0"/>
            </w:pPr>
            <w:r/>
            <w:r>
              <w:rPr>
                <w:sz w:val="20"/>
              </w:rPr>
              <w:t>High</w:t>
            </w:r>
          </w:p>
        </w:tc>
        <w:tc>
          <w:tcPr>
            <w:tcW w:type="dxa" w:w="4985"/>
            <w:vAlign w:val="center"/>
          </w:tcPr>
          <w:p>
            <w:pPr>
              <w:spacing w:after="0"/>
            </w:pPr>
            <w:r/>
            <w:r>
              <w:rPr>
                <w:sz w:val="20"/>
              </w:rPr>
              <w:t>Site trials with a pop-up cart first</w:t>
            </w:r>
          </w:p>
        </w:tc>
      </w:tr>
      <w:tr>
        <w:tc>
          <w:tcPr>
            <w:tcW w:type="dxa" w:w="2991"/>
            <w:vAlign w:val="center"/>
            <w:shd w:val="clear" w:color="auto" w:fill="E7F1F0"/>
          </w:tcPr>
          <w:p>
            <w:pPr>
              <w:spacing w:after="0"/>
            </w:pPr>
            <w:r/>
            <w:r>
              <w:rPr>
                <w:sz w:val="20"/>
              </w:rPr>
              <w:t>Milk price rises</w:t>
            </w:r>
          </w:p>
        </w:tc>
        <w:tc>
          <w:tcPr>
            <w:tcW w:type="dxa" w:w="1662"/>
            <w:vAlign w:val="center"/>
            <w:shd w:val="clear" w:color="auto" w:fill="E7F1F0"/>
          </w:tcPr>
          <w:p>
            <w:pPr>
              <w:spacing w:after="0"/>
            </w:pPr>
            <w:r/>
            <w:r>
              <w:rPr>
                <w:sz w:val="20"/>
              </w:rPr>
              <w:t>Medium</w:t>
            </w:r>
          </w:p>
        </w:tc>
        <w:tc>
          <w:tcPr>
            <w:tcW w:type="dxa" w:w="4985"/>
            <w:vAlign w:val="center"/>
            <w:shd w:val="clear" w:color="auto" w:fill="E7F1F0"/>
          </w:tcPr>
          <w:p>
            <w:pPr>
              <w:spacing w:after="0"/>
            </w:pPr>
            <w:r/>
            <w:r>
              <w:rPr>
                <w:sz w:val="20"/>
              </w:rPr>
              <w:t>Supplier contracts and menu pricing reviews</w:t>
            </w:r>
          </w:p>
        </w:tc>
      </w:tr>
      <w:tr>
        <w:tc>
          <w:tcPr>
            <w:tcW w:type="dxa" w:w="2991"/>
            <w:vAlign w:val="center"/>
          </w:tcPr>
          <w:p>
            <w:pPr>
              <w:spacing w:after="0"/>
            </w:pPr>
            <w:r/>
            <w:r>
              <w:rPr>
                <w:sz w:val="20"/>
              </w:rPr>
              <w:t>Staff turnover</w:t>
            </w:r>
          </w:p>
        </w:tc>
        <w:tc>
          <w:tcPr>
            <w:tcW w:type="dxa" w:w="1662"/>
            <w:vAlign w:val="center"/>
          </w:tcPr>
          <w:p>
            <w:pPr>
              <w:spacing w:after="0"/>
            </w:pPr>
            <w:r/>
            <w:r>
              <w:rPr>
                <w:sz w:val="20"/>
              </w:rPr>
              <w:t>Medium</w:t>
            </w:r>
          </w:p>
        </w:tc>
        <w:tc>
          <w:tcPr>
            <w:tcW w:type="dxa" w:w="4985"/>
            <w:vAlign w:val="center"/>
          </w:tcPr>
          <w:p>
            <w:pPr>
              <w:spacing w:after="0"/>
            </w:pPr>
            <w:r/>
            <w:r>
              <w:rPr>
                <w:sz w:val="20"/>
              </w:rPr>
              <w:t>Training, incentives and career path</w:t>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of </w:t>
    </w:r>
    <w:r>
      <w:rPr>
        <w:color w:val="74777A"/>
        <w:sz w:val="18"/>
      </w:rPr>
      <w:fldChar w:fldCharType="begin"/>
    </w:r>
    <w:r>
      <w:rPr>
        <w:color w:val="74777A"/>
        <w:sz w:val="18"/>
      </w:rPr>
      <w:instrText xml:space="preserve"> NUMPAGES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FD0"/>
      </w:pBdr>
    </w:pPr>
    <w:r/>
    <w:r>
      <w:rPr>
        <w:caps/>
        <w:color w:val="74777A"/>
        <w:sz w:val="17"/>
      </w:rPr>
      <w:t>Chai Tapri Co. · Business Plan</w:t>
    </w:r>
    <w:r>
      <w:rPr>
        <w:color w:val="74777A"/>
        <w:sz w:val="17"/>
      </w:rPr>
      <w:tab/>
      <w:t>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98"/>
      <w:outlineLvl w:val="0"/>
      <w:pBdr>
        <w:left w:val="single" w:sz="24" w:space="10" w:color="0F766E"/>
      </w:pBdr>
    </w:pPr>
    <w:rPr>
      <w:rFonts w:ascii="Raleway" w:hAnsi="Raleway" w:cs="Raleway" w:eastAsia="Raleway"/>
      <w:b/>
      <w:bCs/>
      <w:i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0F766E"/>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Raleway" w:hAnsi="Raleway" w:cs="Raleway" w:eastAsia="Raleway"/>
      <w:b/>
      <w:sz w:val="24"/>
      <w:szCs w:val="24"/>
    </w:rPr>
  </w:style>
  <w:style w:type="paragraph" w:customStyle="1" w:styleId="TOC2">
    <w:name w:val="TOC 2"/>
    <w:basedOn w:val="Normal"/>
    <w:pPr>
      <w:tabs>
        <w:tab w:pos="9638"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