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Layout w:type="fixed"/>
        <w:tblLook w:firstColumn="1" w:firstRow="1" w:lastColumn="0" w:lastRow="0" w:noHBand="0" w:noVBand="1" w:val="04A0"/>
        <w:tblW w:w="11907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700" w:type="dxa"/>
          <w:left w:w="0" w:type="dxa"/>
          <w:bottom w:w="500" w:type="dxa"/>
          <w:right w:w="0" w:type="dxa"/>
        </w:tblCellMar>
      </w:tblPr>
      <w:tblGrid>
        <w:gridCol w:w="11907"/>
      </w:tblGrid>
      <w:tr>
        <w:trPr>
          <w:trHeight w:val="11055" w:hRule="exact"/>
        </w:trPr>
        <w:tc>
          <w:tcPr>
            <w:tcW w:type="dxa" w:w="11906"/>
            <w:shd w:val="clear" w:color="auto" w:fill="831843"/>
            <w:vAlign w:val="bottom"/>
          </w:tcPr>
          <w:p>
            <w:pPr>
              <w:spacing w:after="3000"/>
              <w:ind w:left="1304" w:right="1304"/>
            </w:pPr>
            <w:r>
              <w:rPr>
                <w:b/>
                <w:i w:val="0"/>
                <w:color w:val="FFFFFF"/>
                <w:sz w:val="18"/>
                <w:spacing w:val="60"/>
              </w:rPr>
              <w:t>MORPHIQ CASE LIBRARY</w:t>
            </w:r>
          </w:p>
          <w:p>
            <w:pPr>
              <w:spacing w:after="200"/>
              <w:ind w:left="1304" w:right="1304"/>
            </w:pPr>
            <w:r>
              <w:rPr>
                <w:b/>
                <w:i w:val="0"/>
                <w:caps/>
                <w:color w:val="FFFFFF"/>
                <w:sz w:val="22"/>
                <w:spacing w:val="40"/>
              </w:rPr>
              <w:t>Case Study · Civil Engineering</w:t>
            </w:r>
          </w:p>
          <w:p>
            <w:pPr>
              <w:pStyle w:val="Title"/>
              <w:ind w:left="1304" w:right="1304"/>
            </w:pPr>
            <w:r>
              <w:rPr>
                <w:color w:val="FFFFFF"/>
                <w:sz w:val="80"/>
              </w:rPr>
              <w:t>Retrofitting a 40-Year-Old Road Bridge for Modern Traffic Loads</w:t>
            </w:r>
          </w:p>
          <w:p>
            <w:pPr>
              <w:ind w:left="1304" w:right="1304"/>
            </w:pPr>
            <w:r>
              <w:rPr>
                <w:b w:val="0"/>
                <w:i w:val="0"/>
                <w:color w:val="FFFFFF"/>
                <w:sz w:val="28"/>
              </w:rPr>
              <w:t>Engineering assessment and strengthening of an ageing RCC bridge</w:t>
            </w:r>
          </w:p>
        </w:tc>
      </w:tr>
      <w:tr>
        <w:trPr>
          <w:trHeight w:val="5329" w:hRule="exact"/>
        </w:trPr>
        <w:tc>
          <w:tcPr>
            <w:tcW w:type="dxa" w:w="11906"/>
            <w:vAlign w:val="top"/>
          </w:tcPr>
          <w:p>
            <w:pPr>
              <w:spacing w:after="160"/>
              <w:ind w:left="1304" w:right="1304"/>
            </w:pPr>
          </w:p>
          <w:p>
            <w:pPr>
              <w:spacing w:after="120"/>
              <w:ind w:left="1304" w:right="1304"/>
            </w:pPr>
            <w:r>
              <w:rPr>
                <w:b/>
                <w:i w:val="0"/>
                <w:color w:val="72706F"/>
                <w:sz w:val="17"/>
                <w:spacing w:val="30"/>
              </w:rPr>
              <w:t xml:space="preserve">ORGANISATION   </w:t>
            </w:r>
            <w:r>
              <w:rPr>
                <w:b/>
                <w:i w:val="0"/>
                <w:color w:val="1C1917"/>
                <w:sz w:val="22"/>
              </w:rPr>
              <w:t>District Public Works Division (illustrative)</w:t>
            </w:r>
          </w:p>
          <w:p>
            <w:pPr>
              <w:spacing w:after="120"/>
              <w:ind w:left="1304" w:right="1304"/>
            </w:pPr>
            <w:r>
              <w:rPr>
                <w:b/>
                <w:i w:val="0"/>
                <w:color w:val="72706F"/>
                <w:sz w:val="17"/>
                <w:spacing w:val="30"/>
              </w:rPr>
              <w:t xml:space="preserve">SECTOR   </w:t>
            </w:r>
            <w:r>
              <w:rPr>
                <w:b/>
                <w:i w:val="0"/>
                <w:color w:val="1C1917"/>
                <w:sz w:val="22"/>
              </w:rPr>
              <w:t>Infrastructure</w:t>
            </w:r>
          </w:p>
          <w:p>
            <w:pPr>
              <w:spacing w:after="120"/>
              <w:ind w:left="1304" w:right="1304"/>
            </w:pPr>
            <w:r>
              <w:rPr>
                <w:b/>
                <w:i w:val="0"/>
                <w:color w:val="72706F"/>
                <w:sz w:val="17"/>
                <w:spacing w:val="30"/>
              </w:rPr>
              <w:t xml:space="preserve">PREPARED BY   </w:t>
            </w:r>
            <w:r>
              <w:rPr>
                <w:b/>
                <w:i w:val="0"/>
                <w:color w:val="1C1917"/>
                <w:sz w:val="22"/>
              </w:rPr>
              <w:t>Case writer: Your Name</w:t>
            </w:r>
          </w:p>
        </w:tc>
      </w:tr>
    </w:tbl>
    <w:p>
      <w:pPr>
        <w:sectPr>
          <w:pgSz w:w="11906" w:h="16838"/>
          <w:pgMar w:top="0" w:right="0" w:bottom="0" w:left="0" w:header="0" w:footer="0" w:gutter="0"/>
          <w:cols w:space="720"/>
          <w:docGrid w:linePitch="360"/>
        </w:sectPr>
      </w:pPr>
    </w:p>
    <w:p>
      <w:pPr>
        <w:pStyle w:val="Heading1"/>
      </w:pPr>
      <w:r>
        <w:t>Contents</w:t>
      </w:r>
    </w:p>
    <w:p>
      <w:pPr>
        <w:spacing w:after="0"/>
      </w:pPr>
      <w:r>
        <w:fldChar w:fldCharType="begin" w:dirty="false"/>
      </w:r>
      <w:r>
        <w:instrText xml:space="preserve"> TOC \o "1-2" \h \z \u </w:instrText>
      </w:r>
      <w:r>
        <w:fldChar w:fldCharType="separate"/>
      </w:r>
    </w:p>
    <w:p>
      <w:pPr>
        <w:pStyle w:val="TOC1"/>
      </w:pPr>
      <w:r>
        <w:t>At a Glance</w:t>
      </w:r>
      <w:r>
        <w:tab/>
        <w:t>2</w:t>
      </w:r>
    </w:p>
    <w:p>
      <w:pPr>
        <w:pStyle w:val="TOC1"/>
      </w:pPr>
      <w:r>
        <w:t>Background</w:t>
      </w:r>
      <w:r>
        <w:tab/>
        <w:t>3</w:t>
      </w:r>
    </w:p>
    <w:p>
      <w:pPr>
        <w:pStyle w:val="TOC1"/>
      </w:pPr>
      <w:r>
        <w:t>The Challenge</w:t>
      </w:r>
      <w:r>
        <w:tab/>
        <w:t>3</w:t>
      </w:r>
    </w:p>
    <w:p>
      <w:pPr>
        <w:pStyle w:val="TOC1"/>
      </w:pPr>
      <w:r>
        <w:t>Objectives</w:t>
      </w:r>
      <w:r>
        <w:tab/>
        <w:t>3</w:t>
      </w:r>
    </w:p>
    <w:p>
      <w:pPr>
        <w:pStyle w:val="TOC1"/>
      </w:pPr>
      <w:r>
        <w:t>Approach</w:t>
      </w:r>
      <w:r>
        <w:tab/>
        <w:t>3</w:t>
      </w:r>
    </w:p>
    <w:p>
      <w:pPr>
        <w:pStyle w:val="TOC2"/>
      </w:pPr>
      <w:r>
        <w:t>Phase 1: Condition assessment</w:t>
      </w:r>
      <w:r>
        <w:tab/>
        <w:t>3</w:t>
      </w:r>
    </w:p>
    <w:p>
      <w:pPr>
        <w:pStyle w:val="TOC2"/>
      </w:pPr>
      <w:r>
        <w:t>Phase 2: Strengthening design</w:t>
      </w:r>
      <w:r>
        <w:tab/>
        <w:t>4</w:t>
      </w:r>
    </w:p>
    <w:p>
      <w:pPr>
        <w:pStyle w:val="TOC2"/>
      </w:pPr>
      <w:r>
        <w:t>Phase 3: Execution</w:t>
      </w:r>
      <w:r>
        <w:tab/>
        <w:t>4</w:t>
      </w:r>
    </w:p>
    <w:p>
      <w:pPr>
        <w:pStyle w:val="TOC2"/>
      </w:pPr>
      <w:r>
        <w:t>Implementation Timeline</w:t>
      </w:r>
      <w:r>
        <w:tab/>
        <w:t>4</w:t>
      </w:r>
    </w:p>
    <w:p>
      <w:pPr>
        <w:pStyle w:val="TOC1"/>
      </w:pPr>
      <w:r>
        <w:t>Results</w:t>
      </w:r>
      <w:r>
        <w:tab/>
        <w:t>4</w:t>
      </w:r>
    </w:p>
    <w:p>
      <w:pPr>
        <w:pStyle w:val="TOC1"/>
      </w:pPr>
      <w:r>
        <w:t>Lessons Learned</w:t>
      </w:r>
      <w:r>
        <w:tab/>
        <w:t>5</w:t>
      </w:r>
    </w:p>
    <w:p>
      <w:pPr>
        <w:pStyle w:val="TOC1"/>
      </w:pPr>
      <w:r>
        <w:t>Analysis</w:t>
      </w:r>
      <w:r>
        <w:tab/>
        <w:t>5</w:t>
      </w:r>
    </w:p>
    <w:p>
      <w:pPr>
        <w:pStyle w:val="TOC1"/>
      </w:pPr>
      <w:r>
        <w:t>Discussion Questions</w:t>
      </w:r>
      <w:r>
        <w:tab/>
        <w:t>5</w:t>
      </w:r>
    </w:p>
    <w:p>
      <w:pPr>
        <w:pStyle w:val="TOC1"/>
      </w:pPr>
      <w:r>
        <w:t>Teaching Note</w:t>
      </w:r>
      <w:r>
        <w:tab/>
        <w:t>5</w:t>
      </w:r>
    </w:p>
    <w:p>
      <w:pPr>
        <w:pStyle w:val="TOC1"/>
      </w:pPr>
      <w:r>
        <w:t>Appendix: Additional Exhibits</w:t>
      </w:r>
      <w:r>
        <w:tab/>
        <w:t>6</w:t>
      </w:r>
    </w:p>
    <w:p>
      <w:pPr>
        <w:pStyle w:val="TOC1"/>
      </w:pPr>
      <w:r>
        <w:t>Conclusion</w:t>
      </w:r>
      <w:r>
        <w:tab/>
        <w:t>6</w:t>
      </w:r>
    </w:p>
    <w:p>
      <w:pPr>
        <w:spacing w:after="0"/>
      </w:pPr>
      <w:r>
        <w:fldChar w:fldCharType="end"/>
      </w:r>
    </w:p>
    <w:p>
      <w:pPr>
        <w:pStyle w:val="Heading1"/>
      </w:pPr>
      <w:r>
        <w:t>At a Glance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single" w:sz="4" w:space="0" w:color="CDCCCC"/>
          <w:left w:val="single" w:sz="4" w:space="0" w:color="CDCCCC"/>
          <w:bottom w:val="single" w:sz="4" w:space="0" w:color="CDCCCC"/>
          <w:right w:val="single" w:sz="4" w:space="0" w:color="CDCCCC"/>
          <w:insideH w:val="single" w:sz="4" w:space="0" w:color="CDCCCC"/>
          <w:insideV w:val="single" w:sz="4" w:space="0" w:color="CDCCCC"/>
        </w:tblBorders>
        <w:tblCellMar>
          <w:top w:w="60" w:type="dxa"/>
          <w:left w:w="110" w:type="dxa"/>
          <w:bottom w:w="60" w:type="dxa"/>
          <w:right w:w="110" w:type="dxa"/>
        </w:tblCellMar>
      </w:tblPr>
      <w:tblGrid>
        <w:gridCol w:w="2381"/>
        <w:gridCol w:w="7030"/>
      </w:tblGrid>
      <w:tr>
        <w:tc>
          <w:tcPr>
            <w:tcW w:type="dxa" w:w="2381"/>
            <w:shd w:val="clear" w:color="auto" w:fill="F3E8EC"/>
          </w:tcPr>
          <w:p>
            <w:pPr>
              <w:spacing w:after="0"/>
            </w:pPr>
            <w:r>
              <w:rPr>
                <w:b/>
              </w:rPr>
              <w:t>Organisation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District Public Works Division (illustrative)</w:t>
            </w:r>
          </w:p>
        </w:tc>
      </w:tr>
      <w:tr>
        <w:tc>
          <w:tcPr>
            <w:tcW w:type="dxa" w:w="2381"/>
            <w:shd w:val="clear" w:color="auto" w:fill="F3E8EC"/>
          </w:tcPr>
          <w:p>
            <w:pPr>
              <w:spacing w:after="0"/>
            </w:pPr>
            <w:r>
              <w:rPr>
                <w:b/>
              </w:rPr>
              <w:t>Sector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Infrastructure</w:t>
            </w:r>
          </w:p>
        </w:tc>
      </w:tr>
      <w:tr>
        <w:tc>
          <w:tcPr>
            <w:tcW w:type="dxa" w:w="2381"/>
            <w:shd w:val="clear" w:color="auto" w:fill="F3E8EC"/>
          </w:tcPr>
          <w:p>
            <w:pPr>
              <w:spacing w:after="0"/>
            </w:pPr>
            <w:r>
              <w:rPr>
                <w:b/>
              </w:rPr>
              <w:t>Location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Central India</w:t>
            </w:r>
          </w:p>
        </w:tc>
      </w:tr>
      <w:tr>
        <w:tc>
          <w:tcPr>
            <w:tcW w:type="dxa" w:w="2381"/>
            <w:shd w:val="clear" w:color="auto" w:fill="F3E8EC"/>
          </w:tcPr>
          <w:p>
            <w:pPr>
              <w:spacing w:after="0"/>
            </w:pPr>
            <w:r>
              <w:rPr>
                <w:b/>
              </w:rPr>
              <w:t>Challenge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Cracking, corrosion and higher traffic loads</w:t>
            </w:r>
          </w:p>
        </w:tc>
      </w:tr>
      <w:tr>
        <w:tc>
          <w:tcPr>
            <w:tcW w:type="dxa" w:w="2381"/>
            <w:shd w:val="clear" w:color="auto" w:fill="F3E8EC"/>
          </w:tcPr>
          <w:p>
            <w:pPr>
              <w:spacing w:after="0"/>
            </w:pPr>
            <w:r>
              <w:rPr>
                <w:b/>
              </w:rPr>
              <w:t>Solution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Condition survey, carbon-fibre strengthening and bearing replacement</w:t>
            </w:r>
          </w:p>
        </w:tc>
      </w:tr>
      <w:tr>
        <w:tc>
          <w:tcPr>
            <w:tcW w:type="dxa" w:w="2381"/>
            <w:shd w:val="clear" w:color="auto" w:fill="F3E8EC"/>
          </w:tcPr>
          <w:p>
            <w:pPr>
              <w:spacing w:after="0"/>
            </w:pPr>
            <w:r>
              <w:rPr>
                <w:b/>
              </w:rPr>
              <w:t>Timeframe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14 months</w:t>
            </w:r>
          </w:p>
        </w:tc>
      </w:tr>
    </w:tbl>
    <w:p>
      <w:pPr>
        <w:spacing w:after="80"/>
      </w:pP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single" w:sz="18" w:space="0" w:color="FFFFFF"/>
          <w:left w:val="single" w:sz="18" w:space="0" w:color="FFFFFF"/>
          <w:bottom w:val="single" w:sz="18" w:space="0" w:color="FFFFFF"/>
          <w:right w:val="single" w:sz="18" w:space="0" w:color="FFFFFF"/>
          <w:insideH w:val="single" w:sz="18" w:space="0" w:color="FFFFFF"/>
          <w:insideV w:val="single" w:sz="18" w:space="0" w:color="FFFFFF"/>
        </w:tblBorders>
        <w:tblCellMar>
          <w:top w:w="140" w:type="dxa"/>
          <w:left w:w="140" w:type="dxa"/>
          <w:bottom w:w="140" w:type="dxa"/>
          <w:right w:w="140" w:type="dxa"/>
        </w:tblCellMar>
      </w:tblPr>
      <w:tblGrid>
        <w:gridCol w:w="3137"/>
        <w:gridCol w:w="3137"/>
        <w:gridCol w:w="3137"/>
      </w:tblGrid>
      <w:tr>
        <w:tc>
          <w:tcPr>
            <w:tcW w:type="dxa" w:w="3137"/>
            <w:shd w:val="clear" w:color="auto" w:fill="E4CCD6"/>
          </w:tcPr>
          <w:p>
            <w:pPr>
              <w:spacing w:after="40"/>
            </w:pPr>
            <w:r>
              <w:rPr>
                <w:rFonts w:ascii="EB Garamond" w:hAnsi="EB Garamond" w:cs="EB Garamond" w:eastAsia="EB Garamond"/>
                <w:b/>
                <w:color w:val="831843"/>
                <w:sz w:val="40"/>
              </w:rPr>
              <w:t>25+ yrs</w:t>
            </w:r>
          </w:p>
          <w:p>
            <w:pPr>
              <w:spacing w:after="0"/>
            </w:pPr>
            <w:r>
              <w:rPr>
                <w:sz w:val="18"/>
              </w:rPr>
              <w:t>Extended service life (design)</w:t>
            </w:r>
          </w:p>
        </w:tc>
        <w:tc>
          <w:tcPr>
            <w:tcW w:type="dxa" w:w="3137"/>
            <w:shd w:val="clear" w:color="auto" w:fill="E4CCD6"/>
          </w:tcPr>
          <w:p>
            <w:pPr>
              <w:spacing w:after="40"/>
            </w:pPr>
            <w:r>
              <w:rPr>
                <w:rFonts w:ascii="EB Garamond" w:hAnsi="EB Garamond" w:cs="EB Garamond" w:eastAsia="EB Garamond"/>
                <w:b/>
                <w:color w:val="831843"/>
                <w:sz w:val="40"/>
              </w:rPr>
              <w:t>−60%</w:t>
            </w:r>
          </w:p>
          <w:p>
            <w:pPr>
              <w:spacing w:after="0"/>
            </w:pPr>
            <w:r>
              <w:rPr>
                <w:sz w:val="18"/>
              </w:rPr>
              <w:t>Closure time vs rebuild</w:t>
            </w:r>
          </w:p>
        </w:tc>
        <w:tc>
          <w:tcPr>
            <w:tcW w:type="dxa" w:w="3137"/>
            <w:shd w:val="clear" w:color="auto" w:fill="E4CCD6"/>
          </w:tcPr>
          <w:p>
            <w:pPr>
              <w:spacing w:after="40"/>
            </w:pPr>
            <w:r>
              <w:rPr>
                <w:rFonts w:ascii="EB Garamond" w:hAnsi="EB Garamond" w:cs="EB Garamond" w:eastAsia="EB Garamond"/>
                <w:b/>
                <w:color w:val="831843"/>
                <w:sz w:val="40"/>
              </w:rPr>
              <w:t>14 mo</w:t>
            </w:r>
          </w:p>
          <w:p>
            <w:pPr>
              <w:spacing w:after="0"/>
            </w:pPr>
            <w:r>
              <w:rPr>
                <w:sz w:val="18"/>
              </w:rPr>
              <w:t>Project duration</w:t>
            </w:r>
          </w:p>
        </w:tc>
      </w:tr>
    </w:tbl>
    <w:p>
      <w:pPr>
        <w:spacing w:after="120"/>
      </w:pPr>
    </w:p>
    <w:p>
      <w:pPr>
        <w:pStyle w:val="Caption"/>
      </w:pPr>
      <w:r>
        <w:t>Organisation and outcomes are illustrative; figures are sample data for teaching and templating purposes.</w:t>
      </w:r>
    </w:p>
    <w:p>
      <w:pPr>
        <w:pStyle w:val="Heading1"/>
      </w:pPr>
      <w:r>
        <w:t>Background</w:t>
      </w:r>
    </w:p>
    <w:p>
      <w:pPr>
        <w:jc w:val="both"/>
      </w:pPr>
      <w:r>
        <w:t>The bridge is a four-span reinforced concrete structure built about forty years ago over a seasonal river. Traffic volumes and axle loads have increased greatly since it was designed.</w:t>
      </w:r>
    </w:p>
    <w:p>
      <w:pPr>
        <w:jc w:val="both"/>
      </w:pPr>
      <w:r>
        <w:t>Inspections showed cracking in the girders, spalling of concrete and corroded reinforcement in some areas.</w:t>
      </w:r>
    </w:p>
    <w:p>
      <w:pPr>
        <w:pStyle w:val="Heading1"/>
      </w:pPr>
      <w:r>
        <w:t>The Challenge</w:t>
      </w:r>
    </w:p>
    <w:p>
      <w:pPr>
        <w:jc w:val="both"/>
      </w:pPr>
      <w:r>
        <w:t>Engineers had to decide whether to rebuild or strengthen the bridge, while keeping the route open as much as possible.</w:t>
      </w:r>
    </w:p>
    <w:p>
      <w:pPr>
        <w:pStyle w:val="ListBullet"/>
      </w:pPr>
      <w:r>
        <w:t>Visible cracks and spalling</w:t>
      </w:r>
    </w:p>
    <w:p>
      <w:pPr>
        <w:pStyle w:val="ListBullet"/>
      </w:pPr>
      <w:r>
        <w:t>Corroded reinforcement</w:t>
      </w:r>
    </w:p>
    <w:p>
      <w:pPr>
        <w:pStyle w:val="ListBullet"/>
      </w:pPr>
      <w:r>
        <w:t>Worn-out bearings</w:t>
      </w:r>
    </w:p>
    <w:p>
      <w:pPr>
        <w:pStyle w:val="ListBullet"/>
      </w:pPr>
      <w:r>
        <w:t>Only one alternative route, much longer</w:t>
      </w:r>
    </w:p>
    <w:p>
      <w:pPr>
        <w:pStyle w:val="Quote"/>
      </w:pPr>
      <w:r>
        <w:t>Replacing the bridge would have cut off villages for over a year.</w:t>
      </w:r>
    </w:p>
    <w:p>
      <w:pPr>
        <w:spacing w:after="160"/>
        <w:jc w:val="right"/>
      </w:pPr>
      <w:r>
        <w:rPr>
          <w:i/>
          <w:color w:val="72706F"/>
        </w:rPr>
        <w:t>— Executive Engineer (illustrative)</w:t>
      </w:r>
    </w:p>
    <w:p>
      <w:pPr>
        <w:pStyle w:val="Heading1"/>
      </w:pPr>
      <w:r>
        <w:t>Objectives</w:t>
      </w:r>
    </w:p>
    <w:p>
      <w:pPr>
        <w:pStyle w:val="ListNumber"/>
      </w:pPr>
      <w:r>
        <w:t>Assess structural condition accurately.</w:t>
      </w:r>
    </w:p>
    <w:p>
      <w:pPr>
        <w:pStyle w:val="ListNumber"/>
      </w:pPr>
      <w:r>
        <w:t>Restore and enhance load capacity.</w:t>
      </w:r>
    </w:p>
    <w:p>
      <w:pPr>
        <w:pStyle w:val="ListNumber"/>
      </w:pPr>
      <w:r>
        <w:t>Minimise disruption to traffic.</w:t>
      </w:r>
    </w:p>
    <w:p>
      <w:pPr>
        <w:pStyle w:val="Heading1"/>
      </w:pPr>
      <w:r>
        <w:t>Approach</w:t>
      </w:r>
    </w:p>
    <w:p>
      <w:pPr>
        <w:jc w:val="both"/>
      </w:pPr>
      <w:r>
        <w:t>The project followed a structured assessment and design process before any repair work.</w:t>
      </w:r>
    </w:p>
    <w:p>
      <w:pPr>
        <w:pStyle w:val="Heading2"/>
      </w:pPr>
      <w:r>
        <w:t>Phase 1: Condition assessment</w:t>
      </w:r>
    </w:p>
    <w:p>
      <w:pPr>
        <w:jc w:val="both"/>
      </w:pPr>
      <w:r>
        <w:t>Visual inspection, rebound hammer and ultrasonic tests, cover meter surveys and core samples.</w:t>
      </w:r>
    </w:p>
    <w:p>
      <w:pPr>
        <w:pStyle w:val="ListBullet"/>
      </w:pPr>
      <w:r>
        <w:t>Non-destructive testing</w:t>
      </w:r>
    </w:p>
    <w:p>
      <w:pPr>
        <w:pStyle w:val="ListBullet"/>
      </w:pPr>
      <w:r>
        <w:t>Core tests</w:t>
      </w:r>
    </w:p>
    <w:p>
      <w:pPr>
        <w:pStyle w:val="ListBullet"/>
      </w:pPr>
      <w:r>
        <w:t>Load rating analysis</w:t>
      </w:r>
    </w:p>
    <w:p>
      <w:pPr>
        <w:pStyle w:val="Heading2"/>
      </w:pPr>
      <w:r>
        <w:t>Phase 2: Strengthening design</w:t>
      </w:r>
    </w:p>
    <w:p>
      <w:pPr>
        <w:jc w:val="both"/>
      </w:pPr>
      <w:r>
        <w:t>Engineers designed carbon-fibre reinforced polymer wrapping for girders and repairs for damaged concrete.</w:t>
      </w:r>
    </w:p>
    <w:p>
      <w:pPr>
        <w:pStyle w:val="ListBullet"/>
      </w:pPr>
      <w:r>
        <w:t>Repair mortar specification</w:t>
      </w:r>
    </w:p>
    <w:p>
      <w:pPr>
        <w:pStyle w:val="ListBullet"/>
      </w:pPr>
      <w:r>
        <w:t>FRP design</w:t>
      </w:r>
    </w:p>
    <w:p>
      <w:pPr>
        <w:pStyle w:val="ListBullet"/>
      </w:pPr>
      <w:r>
        <w:t>Bearing replacement plan</w:t>
      </w:r>
    </w:p>
    <w:p>
      <w:pPr>
        <w:pStyle w:val="Heading2"/>
      </w:pPr>
      <w:r>
        <w:t>Phase 3: Execution</w:t>
      </w:r>
    </w:p>
    <w:p>
      <w:pPr>
        <w:jc w:val="both"/>
      </w:pPr>
      <w:r>
        <w:t>Work was done span by span with one-lane traffic and night closures for bearing replacement.</w:t>
      </w:r>
    </w:p>
    <w:p>
      <w:pPr>
        <w:pStyle w:val="ListBullet"/>
      </w:pPr>
      <w:r>
        <w:t>Surface preparation</w:t>
      </w:r>
    </w:p>
    <w:p>
      <w:pPr>
        <w:pStyle w:val="ListBullet"/>
      </w:pPr>
      <w:r>
        <w:t>FRP application</w:t>
      </w:r>
    </w:p>
    <w:p>
      <w:pPr>
        <w:pStyle w:val="ListBullet"/>
      </w:pPr>
      <w:r>
        <w:t>Jacking and bearing replacement</w:t>
      </w:r>
    </w:p>
    <w:p>
      <w:pPr>
        <w:pStyle w:val="Heading2"/>
      </w:pPr>
      <w:r>
        <w:t>Implementation Timeline</w:t>
      </w:r>
    </w:p>
    <w:tbl>
      <w:tblPr>
        <w:jc w:val="center"/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DCCCC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016"/>
        <w:gridCol w:w="3361"/>
        <w:gridCol w:w="4033"/>
      </w:tblGrid>
      <w:tr>
        <w:trPr>
          <w:tblHeader/>
        </w:trPr>
        <w:tc>
          <w:tcPr>
            <w:tcW w:type="dxa" w:w="2017"/>
            <w:vAlign w:val="center"/>
            <w:shd w:val="clear" w:color="auto" w:fill="831843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Period</w:t>
            </w:r>
          </w:p>
        </w:tc>
        <w:tc>
          <w:tcPr>
            <w:tcW w:type="dxa" w:w="3361"/>
            <w:vAlign w:val="center"/>
            <w:shd w:val="clear" w:color="auto" w:fill="831843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Milestone</w:t>
            </w:r>
          </w:p>
        </w:tc>
        <w:tc>
          <w:tcPr>
            <w:tcW w:type="dxa" w:w="4033"/>
            <w:vAlign w:val="center"/>
            <w:shd w:val="clear" w:color="auto" w:fill="831843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Notes</w:t>
            </w:r>
          </w:p>
        </w:tc>
      </w:tr>
      <w:tr>
        <w:tc>
          <w:tcPr>
            <w:tcW w:type="dxa" w:w="201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Month 1–3</w:t>
            </w:r>
          </w:p>
        </w:tc>
        <w:tc>
          <w:tcPr>
            <w:tcW w:type="dxa" w:w="3361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Assessment and testing</w:t>
            </w:r>
          </w:p>
        </w:tc>
        <w:tc>
          <w:tcPr>
            <w:tcW w:type="dxa" w:w="4033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Report and load rating</w:t>
            </w:r>
          </w:p>
        </w:tc>
      </w:tr>
      <w:tr>
        <w:tc>
          <w:tcPr>
            <w:tcW w:type="dxa" w:w="2017"/>
            <w:vAlign w:val="center"/>
            <w:shd w:val="clear" w:color="auto" w:fill="F3E8EC"/>
          </w:tcPr>
          <w:p>
            <w:pPr>
              <w:spacing w:after="0"/>
            </w:pPr>
            <w:r/>
            <w:r>
              <w:rPr>
                <w:sz w:val="20"/>
              </w:rPr>
              <w:t>Month 4–5</w:t>
            </w:r>
          </w:p>
        </w:tc>
        <w:tc>
          <w:tcPr>
            <w:tcW w:type="dxa" w:w="3361"/>
            <w:vAlign w:val="center"/>
            <w:shd w:val="clear" w:color="auto" w:fill="F3E8EC"/>
          </w:tcPr>
          <w:p>
            <w:pPr>
              <w:spacing w:after="0"/>
            </w:pPr>
            <w:r/>
            <w:r>
              <w:rPr>
                <w:sz w:val="20"/>
              </w:rPr>
              <w:t>Design and approvals</w:t>
            </w:r>
          </w:p>
        </w:tc>
        <w:tc>
          <w:tcPr>
            <w:tcW w:type="dxa" w:w="4033"/>
            <w:vAlign w:val="center"/>
            <w:shd w:val="clear" w:color="auto" w:fill="F3E8EC"/>
          </w:tcPr>
          <w:p>
            <w:pPr>
              <w:spacing w:after="0"/>
            </w:pPr>
            <w:r/>
            <w:r>
              <w:rPr>
                <w:sz w:val="20"/>
              </w:rPr>
              <w:t>Drawings and specifications</w:t>
            </w:r>
          </w:p>
        </w:tc>
      </w:tr>
      <w:tr>
        <w:tc>
          <w:tcPr>
            <w:tcW w:type="dxa" w:w="201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Month 6–12</w:t>
            </w:r>
          </w:p>
        </w:tc>
        <w:tc>
          <w:tcPr>
            <w:tcW w:type="dxa" w:w="3361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Strengthening works</w:t>
            </w:r>
          </w:p>
        </w:tc>
        <w:tc>
          <w:tcPr>
            <w:tcW w:type="dxa" w:w="4033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Span by span</w:t>
            </w:r>
          </w:p>
        </w:tc>
      </w:tr>
      <w:tr>
        <w:tc>
          <w:tcPr>
            <w:tcW w:type="dxa" w:w="2017"/>
            <w:vAlign w:val="center"/>
            <w:shd w:val="clear" w:color="auto" w:fill="F3E8EC"/>
          </w:tcPr>
          <w:p>
            <w:pPr>
              <w:spacing w:after="0"/>
            </w:pPr>
            <w:r/>
            <w:r>
              <w:rPr>
                <w:sz w:val="20"/>
              </w:rPr>
              <w:t>Month 13–14</w:t>
            </w:r>
          </w:p>
        </w:tc>
        <w:tc>
          <w:tcPr>
            <w:tcW w:type="dxa" w:w="3361"/>
            <w:vAlign w:val="center"/>
            <w:shd w:val="clear" w:color="auto" w:fill="F3E8EC"/>
          </w:tcPr>
          <w:p>
            <w:pPr>
              <w:spacing w:after="0"/>
            </w:pPr>
            <w:r/>
            <w:r>
              <w:rPr>
                <w:sz w:val="20"/>
              </w:rPr>
              <w:t>Load test and handover</w:t>
            </w:r>
          </w:p>
        </w:tc>
        <w:tc>
          <w:tcPr>
            <w:tcW w:type="dxa" w:w="4033"/>
            <w:vAlign w:val="center"/>
            <w:shd w:val="clear" w:color="auto" w:fill="F3E8EC"/>
          </w:tcPr>
          <w:p>
            <w:pPr>
              <w:spacing w:after="0"/>
            </w:pPr>
            <w:r/>
            <w:r>
              <w:rPr>
                <w:sz w:val="20"/>
              </w:rPr>
              <w:t>Monitoring plan</w:t>
            </w:r>
          </w:p>
        </w:tc>
      </w:tr>
    </w:tbl>
    <w:p>
      <w:pPr>
        <w:spacing w:after="80"/>
      </w:pPr>
    </w:p>
    <w:p>
      <w:pPr>
        <w:pStyle w:val="Heading1"/>
      </w:pPr>
      <w:r>
        <w:t>Results</w:t>
      </w:r>
    </w:p>
    <w:p>
      <w:pPr>
        <w:jc w:val="both"/>
      </w:pPr>
      <w:r>
        <w:t>The strengthened bridge passed a load test and returned to full service.</w:t>
      </w:r>
    </w:p>
    <w:tbl>
      <w:tblPr>
        <w:jc w:val="center"/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DCCCC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137"/>
        <w:gridCol w:w="3137"/>
        <w:gridCol w:w="3137"/>
      </w:tblGrid>
      <w:tr>
        <w:trPr>
          <w:tblHeader/>
        </w:trPr>
        <w:tc>
          <w:tcPr>
            <w:tcW w:type="dxa" w:w="3137"/>
            <w:vAlign w:val="center"/>
            <w:shd w:val="clear" w:color="auto" w:fill="831843"/>
          </w:tcPr>
          <w:p>
            <w:pPr>
              <w:spacing w:after="0"/>
              <w:jc w:val="left"/>
            </w:pPr>
            <w:r/>
            <w:r>
              <w:rPr>
                <w:b/>
                <w:color w:val="FFFFFF"/>
                <w:sz w:val="20"/>
              </w:rPr>
              <w:t>Parameter</w:t>
            </w:r>
          </w:p>
        </w:tc>
        <w:tc>
          <w:tcPr>
            <w:tcW w:type="dxa" w:w="3137"/>
            <w:vAlign w:val="center"/>
            <w:shd w:val="clear" w:color="auto" w:fill="831843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20"/>
              </w:rPr>
              <w:t>Before</w:t>
            </w:r>
          </w:p>
        </w:tc>
        <w:tc>
          <w:tcPr>
            <w:tcW w:type="dxa" w:w="3137"/>
            <w:vAlign w:val="center"/>
            <w:shd w:val="clear" w:color="auto" w:fill="831843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20"/>
              </w:rPr>
              <w:t>After</w:t>
            </w:r>
          </w:p>
        </w:tc>
      </w:tr>
      <w:tr>
        <w:tc>
          <w:tcPr>
            <w:tcW w:type="dxa" w:w="3137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Load rating (relative)</w:t>
            </w:r>
          </w:p>
        </w:tc>
        <w:tc>
          <w:tcPr>
            <w:tcW w:type="dxa" w:w="3137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0.78</w:t>
            </w:r>
          </w:p>
        </w:tc>
        <w:tc>
          <w:tcPr>
            <w:tcW w:type="dxa" w:w="3137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1.15</w:t>
            </w:r>
          </w:p>
        </w:tc>
      </w:tr>
      <w:tr>
        <w:tc>
          <w:tcPr>
            <w:tcW w:type="dxa" w:w="3137"/>
            <w:vAlign w:val="center"/>
            <w:shd w:val="clear" w:color="auto" w:fill="F3E8EC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Crack width (max, mm)</w:t>
            </w:r>
          </w:p>
        </w:tc>
        <w:tc>
          <w:tcPr>
            <w:tcW w:type="dxa" w:w="3137"/>
            <w:vAlign w:val="center"/>
            <w:shd w:val="clear" w:color="auto" w:fill="F3E8EC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0.6</w:t>
            </w:r>
          </w:p>
        </w:tc>
        <w:tc>
          <w:tcPr>
            <w:tcW w:type="dxa" w:w="3137"/>
            <w:vAlign w:val="center"/>
            <w:shd w:val="clear" w:color="auto" w:fill="F3E8EC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Sealed</w:t>
            </w:r>
          </w:p>
        </w:tc>
      </w:tr>
      <w:tr>
        <w:tc>
          <w:tcPr>
            <w:tcW w:type="dxa" w:w="3137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Deflection under test load (mm)</w:t>
            </w:r>
          </w:p>
        </w:tc>
        <w:tc>
          <w:tcPr>
            <w:tcW w:type="dxa" w:w="3137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—</w:t>
            </w:r>
          </w:p>
        </w:tc>
        <w:tc>
          <w:tcPr>
            <w:tcW w:type="dxa" w:w="3137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Within limits</w:t>
            </w:r>
          </w:p>
        </w:tc>
      </w:tr>
      <w:tr>
        <w:tc>
          <w:tcPr>
            <w:tcW w:type="dxa" w:w="3137"/>
            <w:vAlign w:val="center"/>
            <w:shd w:val="clear" w:color="auto" w:fill="F3E8EC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Full closure days</w:t>
            </w:r>
          </w:p>
        </w:tc>
        <w:tc>
          <w:tcPr>
            <w:tcW w:type="dxa" w:w="3137"/>
            <w:vAlign w:val="center"/>
            <w:shd w:val="clear" w:color="auto" w:fill="F3E8EC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—</w:t>
            </w:r>
          </w:p>
        </w:tc>
        <w:tc>
          <w:tcPr>
            <w:tcW w:type="dxa" w:w="3137"/>
            <w:vAlign w:val="center"/>
            <w:shd w:val="clear" w:color="auto" w:fill="F3E8EC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9</w:t>
            </w:r>
          </w:p>
        </w:tc>
      </w:tr>
    </w:tbl>
    <w:p>
      <w:pPr>
        <w:spacing w:after="80"/>
      </w:pPr>
    </w:p>
    <w:p>
      <w:pPr>
        <w:pStyle w:val="Caption"/>
        <w:jc w:val="center"/>
      </w:pPr>
      <w:r>
        <w:t>Exhibit 1: Key metrics before and after (sample data)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single" w:sz="4" w:space="0" w:color="CDCCCC"/>
          <w:left w:val="single" w:sz="4" w:space="0" w:color="CDCCCC"/>
          <w:bottom w:val="single" w:sz="4" w:space="0" w:color="CDCCCC"/>
          <w:right w:val="single" w:sz="4" w:space="0" w:color="CDCCCC"/>
          <w:insideH w:val="single" w:sz="4" w:space="0" w:color="CDCCCC"/>
          <w:insideV w:val="single" w:sz="4" w:space="0" w:color="CDCCCC"/>
        </w:tblBorders>
      </w:tblPr>
      <w:tblGrid>
        <w:gridCol w:w="9412"/>
      </w:tblGrid>
      <w:tr>
        <w:trPr>
          <w:trHeight w:val="3118" w:hRule="exact"/>
        </w:trPr>
        <w:tc>
          <w:tcPr>
            <w:tcW w:type="dxa" w:w="9411"/>
            <w:shd w:val="clear" w:color="auto" w:fill="F3E8EC"/>
            <w:vAlign w:val="center"/>
          </w:tcPr>
          <w:p>
            <w:pPr>
              <w:jc w:val="center"/>
            </w:pPr>
            <w:r>
              <w:rPr>
                <w:color w:val="72706F"/>
                <w:sz w:val="20"/>
              </w:rPr>
              <w:t>Chart placeholder — insert a before/after chart</w:t>
            </w:r>
          </w:p>
        </w:tc>
      </w:tr>
    </w:tbl>
    <w:p>
      <w:pPr>
        <w:pStyle w:val="Caption"/>
        <w:spacing w:before="80"/>
        <w:jc w:val="center"/>
      </w:pPr>
      <w:r>
        <w:t>Exhibit 2: Trend over the implementation period (sample data)</w:t>
      </w:r>
    </w:p>
    <w:p>
      <w:pPr>
        <w:pStyle w:val="Heading1"/>
      </w:pPr>
      <w:r>
        <w:t>Lessons Learned</w:t>
      </w:r>
    </w:p>
    <w:p>
      <w:pPr>
        <w:spacing w:after="80"/>
      </w:pPr>
      <w:r>
        <w:rPr>
          <w:b/>
          <w:color w:val="831843"/>
        </w:rPr>
        <w:t xml:space="preserve">Test before deciding. </w:t>
      </w:r>
      <w:r>
        <w:t>Detailed testing showed the structure could be saved.</w:t>
      </w:r>
    </w:p>
    <w:p>
      <w:pPr>
        <w:spacing w:after="80"/>
      </w:pPr>
      <w:r>
        <w:rPr>
          <w:b/>
          <w:color w:val="831843"/>
        </w:rPr>
        <w:t xml:space="preserve">Plan traffic carefully. </w:t>
      </w:r>
      <w:r>
        <w:t>Span-by-span work kept the route open.</w:t>
      </w:r>
    </w:p>
    <w:p>
      <w:pPr>
        <w:spacing w:after="80"/>
      </w:pPr>
      <w:r>
        <w:rPr>
          <w:b/>
          <w:color w:val="831843"/>
        </w:rPr>
        <w:t xml:space="preserve">Monitor after repair. </w:t>
      </w:r>
      <w:r>
        <w:t>Sensors and inspections protect the investment.</w:t>
      </w:r>
    </w:p>
    <w:p>
      <w:pPr>
        <w:pStyle w:val="Heading1"/>
      </w:pPr>
      <w:r>
        <w:t>Analysis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single" w:sz="12" w:space="0" w:color="FFFFFF"/>
          <w:left w:val="single" w:sz="12" w:space="0" w:color="FFFFFF"/>
          <w:bottom w:val="single" w:sz="12" w:space="0" w:color="FFFFFF"/>
          <w:right w:val="single" w:sz="12" w:space="0" w:color="FFFFFF"/>
          <w:insideH w:val="single" w:sz="12" w:space="0" w:color="FFFFFF"/>
          <w:insideV w:val="single" w:sz="12" w:space="0" w:color="FFFFFF"/>
        </w:tblBorders>
      </w:tblPr>
      <w:tblGrid>
        <w:gridCol w:w="4706"/>
        <w:gridCol w:w="4706"/>
      </w:tblGrid>
      <w:tr>
        <w:tc>
          <w:tcPr>
            <w:tcW w:type="dxa" w:w="4706"/>
            <w:shd w:val="clear" w:color="auto" w:fill="F3E8EC"/>
          </w:tcPr>
          <w:p>
            <w:r>
              <w:rPr>
                <w:b/>
                <w:color w:val="831843"/>
              </w:rPr>
              <w:t>What worked</w:t>
            </w:r>
          </w:p>
          <w:p>
            <w:pPr>
              <w:spacing w:after="40"/>
            </w:pPr>
            <w:r>
              <w:t>• Accurate testing</w:t>
            </w:r>
          </w:p>
          <w:p>
            <w:pPr>
              <w:spacing w:after="40"/>
            </w:pPr>
            <w:r>
              <w:t>• Phased execution</w:t>
            </w:r>
          </w:p>
        </w:tc>
        <w:tc>
          <w:tcPr>
            <w:tcW w:type="dxa" w:w="4706"/>
            <w:shd w:val="clear" w:color="auto" w:fill="E4CCD6"/>
          </w:tcPr>
          <w:p>
            <w:r>
              <w:rPr>
                <w:b/>
                <w:color w:val="831843"/>
              </w:rPr>
              <w:t>What was difficult</w:t>
            </w:r>
          </w:p>
          <w:p>
            <w:pPr>
              <w:spacing w:after="40"/>
            </w:pPr>
            <w:r>
              <w:t>• Monsoon interruptions</w:t>
            </w:r>
          </w:p>
          <w:p>
            <w:pPr>
              <w:spacing w:after="40"/>
            </w:pPr>
            <w:r>
              <w:t>• Quality control of FRP</w:t>
            </w:r>
          </w:p>
        </w:tc>
      </w:tr>
      <w:tr>
        <w:tc>
          <w:tcPr>
            <w:tcW w:type="dxa" w:w="4706"/>
            <w:shd w:val="clear" w:color="auto" w:fill="E4CCD6"/>
          </w:tcPr>
          <w:p>
            <w:r>
              <w:rPr>
                <w:b/>
                <w:color w:val="831843"/>
              </w:rPr>
              <w:t>Opportunities</w:t>
            </w:r>
          </w:p>
          <w:p>
            <w:pPr>
              <w:spacing w:after="40"/>
            </w:pPr>
            <w:r>
              <w:t>• Apply method to other bridges</w:t>
            </w:r>
          </w:p>
          <w:p>
            <w:pPr>
              <w:spacing w:after="40"/>
            </w:pPr>
            <w:r>
              <w:t>• Digital monitoring</w:t>
            </w:r>
          </w:p>
        </w:tc>
        <w:tc>
          <w:tcPr>
            <w:tcW w:type="dxa" w:w="4706"/>
            <w:shd w:val="clear" w:color="auto" w:fill="F3E8EC"/>
          </w:tcPr>
          <w:p>
            <w:r>
              <w:rPr>
                <w:b/>
                <w:color w:val="831843"/>
              </w:rPr>
              <w:t>Risks to sustain</w:t>
            </w:r>
          </w:p>
          <w:p>
            <w:pPr>
              <w:spacing w:after="40"/>
            </w:pPr>
            <w:r>
              <w:t>• Overloaded trucks</w:t>
            </w:r>
          </w:p>
          <w:p>
            <w:pPr>
              <w:spacing w:after="40"/>
            </w:pPr>
            <w:r>
              <w:t>• Maintenance budgets</w:t>
            </w:r>
          </w:p>
        </w:tc>
      </w:tr>
    </w:tbl>
    <w:p/>
    <w:p>
      <w:pPr>
        <w:pStyle w:val="Heading1"/>
      </w:pPr>
      <w:r>
        <w:t>Discussion Questions</w:t>
      </w:r>
    </w:p>
    <w:p>
      <w:r>
        <w:rPr>
          <w:i/>
          <w:color w:val="72706F"/>
        </w:rPr>
        <w:t>Use these questions for classroom discussion or self-study.</w:t>
      </w:r>
    </w:p>
    <w:p>
      <w:pPr>
        <w:pStyle w:val="ListNumber"/>
      </w:pPr>
      <w:r>
        <w:t>What information is needed to choose between repair and replacement?</w:t>
      </w:r>
    </w:p>
    <w:p>
      <w:pPr>
        <w:pStyle w:val="ListNumber"/>
      </w:pPr>
      <w:r>
        <w:t>Why was FRP selected for strengthening?</w:t>
      </w:r>
    </w:p>
    <w:p>
      <w:pPr>
        <w:pStyle w:val="ListNumber"/>
      </w:pPr>
      <w:r>
        <w:t>How would you manage traffic during the works?</w:t>
      </w:r>
    </w:p>
    <w:p>
      <w:pPr>
        <w:pStyle w:val="ListNumber"/>
      </w:pPr>
      <w:r>
        <w:t>What should the maintenance plan include?</w:t>
      </w:r>
    </w:p>
    <w:p>
      <w:pPr>
        <w:pStyle w:val="Heading1"/>
      </w:pPr>
      <w:r>
        <w:t>Teaching Note</w:t>
      </w:r>
    </w:p>
    <w:p>
      <w:pPr>
        <w:jc w:val="both"/>
      </w:pPr>
      <w:r>
        <w:t>Suitable for courses in structural engineering, construction management and infrastructure policy.</w:t>
      </w:r>
    </w:p>
    <w:p>
      <w:pPr>
        <w:pStyle w:val="Heading1"/>
      </w:pPr>
      <w:r>
        <w:t>Appendix: Additional Exhibits</w:t>
      </w:r>
    </w:p>
    <w:tbl>
      <w:tblPr>
        <w:jc w:val="center"/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DCCCC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137"/>
        <w:gridCol w:w="3137"/>
        <w:gridCol w:w="3137"/>
      </w:tblGrid>
      <w:tr>
        <w:trPr>
          <w:tblHeader/>
        </w:trPr>
        <w:tc>
          <w:tcPr>
            <w:tcW w:type="dxa" w:w="3137"/>
            <w:vAlign w:val="center"/>
            <w:shd w:val="clear" w:color="auto" w:fill="831843"/>
          </w:tcPr>
          <w:p>
            <w:pPr>
              <w:spacing w:after="0"/>
              <w:jc w:val="left"/>
            </w:pPr>
            <w:r/>
            <w:r>
              <w:rPr>
                <w:b/>
                <w:color w:val="FFFFFF"/>
                <w:sz w:val="20"/>
              </w:rPr>
              <w:t>Test</w:t>
            </w:r>
          </w:p>
        </w:tc>
        <w:tc>
          <w:tcPr>
            <w:tcW w:type="dxa" w:w="3137"/>
            <w:vAlign w:val="center"/>
            <w:shd w:val="clear" w:color="auto" w:fill="831843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20"/>
              </w:rPr>
              <w:t>Location</w:t>
            </w:r>
          </w:p>
        </w:tc>
        <w:tc>
          <w:tcPr>
            <w:tcW w:type="dxa" w:w="3137"/>
            <w:vAlign w:val="center"/>
            <w:shd w:val="clear" w:color="auto" w:fill="831843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20"/>
              </w:rPr>
              <w:t>Result</w:t>
            </w:r>
          </w:p>
        </w:tc>
      </w:tr>
      <w:tr>
        <w:tc>
          <w:tcPr>
            <w:tcW w:type="dxa" w:w="3137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Rebound hammer</w:t>
            </w:r>
          </w:p>
        </w:tc>
        <w:tc>
          <w:tcPr>
            <w:tcW w:type="dxa" w:w="3137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Girders</w:t>
            </w:r>
          </w:p>
        </w:tc>
        <w:tc>
          <w:tcPr>
            <w:tcW w:type="dxa" w:w="3137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Fair to good</w:t>
            </w:r>
          </w:p>
        </w:tc>
      </w:tr>
      <w:tr>
        <w:tc>
          <w:tcPr>
            <w:tcW w:type="dxa" w:w="3137"/>
            <w:vAlign w:val="center"/>
            <w:shd w:val="clear" w:color="auto" w:fill="F3E8EC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Ultrasonic pulse velocity</w:t>
            </w:r>
          </w:p>
        </w:tc>
        <w:tc>
          <w:tcPr>
            <w:tcW w:type="dxa" w:w="3137"/>
            <w:vAlign w:val="center"/>
            <w:shd w:val="clear" w:color="auto" w:fill="F3E8EC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Girders</w:t>
            </w:r>
          </w:p>
        </w:tc>
        <w:tc>
          <w:tcPr>
            <w:tcW w:type="dxa" w:w="3137"/>
            <w:vAlign w:val="center"/>
            <w:shd w:val="clear" w:color="auto" w:fill="F3E8EC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Medium quality</w:t>
            </w:r>
          </w:p>
        </w:tc>
      </w:tr>
      <w:tr>
        <w:tc>
          <w:tcPr>
            <w:tcW w:type="dxa" w:w="3137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Cover meter</w:t>
            </w:r>
          </w:p>
        </w:tc>
        <w:tc>
          <w:tcPr>
            <w:tcW w:type="dxa" w:w="3137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Soffit</w:t>
            </w:r>
          </w:p>
        </w:tc>
        <w:tc>
          <w:tcPr>
            <w:tcW w:type="dxa" w:w="3137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Low cover in places</w:t>
            </w:r>
          </w:p>
        </w:tc>
      </w:tr>
      <w:tr>
        <w:tc>
          <w:tcPr>
            <w:tcW w:type="dxa" w:w="3137"/>
            <w:vAlign w:val="center"/>
            <w:shd w:val="clear" w:color="auto" w:fill="F3E8EC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Carbonation depth</w:t>
            </w:r>
          </w:p>
        </w:tc>
        <w:tc>
          <w:tcPr>
            <w:tcW w:type="dxa" w:w="3137"/>
            <w:vAlign w:val="center"/>
            <w:shd w:val="clear" w:color="auto" w:fill="F3E8EC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Cores</w:t>
            </w:r>
          </w:p>
        </w:tc>
        <w:tc>
          <w:tcPr>
            <w:tcW w:type="dxa" w:w="3137"/>
            <w:vAlign w:val="center"/>
            <w:shd w:val="clear" w:color="auto" w:fill="F3E8EC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Reached reinforcement in places</w:t>
            </w:r>
          </w:p>
        </w:tc>
      </w:tr>
    </w:tbl>
    <w:p>
      <w:pPr>
        <w:spacing w:after="80"/>
      </w:pPr>
    </w:p>
    <w:p>
      <w:pPr>
        <w:pStyle w:val="Caption"/>
        <w:jc w:val="center"/>
      </w:pPr>
      <w:r>
        <w:t>Exhibit 3: Test results summary (sample data)</w:t>
      </w:r>
    </w:p>
    <w:p>
      <w:pPr>
        <w:pStyle w:val="Heading1"/>
      </w:pPr>
      <w:r>
        <w:t>Conclusion</w:t>
      </w:r>
    </w:p>
    <w:p>
      <w:pPr>
        <w:jc w:val="both"/>
      </w:pPr>
      <w:r>
        <w:t>A careful engineering assessment allowed the bridge to be strengthened at lower cost and disruption than replacement.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85" w:right="1247" w:bottom="1185" w:left="1247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/>
    <w:r>
      <w:rPr>
        <w:color w:val="72706F"/>
        <w:sz w:val="18"/>
      </w:rPr>
      <w:t xml:space="preserve">Page </w:t>
    </w:r>
    <w:r>
      <w:rPr>
        <w:color w:val="72706F"/>
        <w:sz w:val="18"/>
      </w:rPr>
      <w:fldChar w:fldCharType="begin"/>
    </w:r>
    <w:r>
      <w:rPr>
        <w:color w:val="72706F"/>
        <w:sz w:val="18"/>
      </w:rPr>
      <w:instrText xml:space="preserve"> PAGE </w:instrText>
    </w:r>
    <w:r>
      <w:rPr>
        <w:color w:val="72706F"/>
        <w:sz w:val="18"/>
      </w:rPr>
      <w:fldChar w:fldCharType="separate"/>
    </w:r>
    <w:r>
      <w:rPr>
        <w:color w:val="72706F"/>
        <w:sz w:val="18"/>
      </w:rPr>
      <w:t>1</w:t>
    </w:r>
    <w:r>
      <w:rPr>
        <w:color w:val="72706F"/>
        <w:sz w:val="18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411" w:val="right"/>
      </w:tabs>
      <w:pBdr>
        <w:bottom w:val="single" w:sz="4" w:space="6" w:color="CDCCCC"/>
      </w:pBdr>
    </w:pPr>
    <w:r/>
    <w:r>
      <w:rPr>
        <w:caps w:val="0"/>
        <w:color w:val="72706F"/>
        <w:sz w:val="17"/>
      </w:rPr>
      <w:t>Case Study · Bridge retrofit</w:t>
    </w:r>
    <w:r>
      <w:rPr>
        <w:color w:val="72706F"/>
        <w:sz w:val="17"/>
      </w:rPr>
      <w:tab/>
      <w:t>Civil Engineering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32" w:line="300" w:lineRule="auto"/>
    </w:pPr>
    <w:rPr>
      <w:rFonts w:ascii="Lato" w:hAnsi="Lato" w:cs="Lato" w:eastAsia="Lato"/>
      <w:color w:val="1C1917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 w:line="264" w:lineRule="auto"/>
      <w:outlineLvl w:val="0"/>
    </w:pPr>
    <w:rPr>
      <w:rFonts w:ascii="EB Garamond" w:hAnsi="EB Garamond" w:cs="EB Garamond" w:eastAsia="EB Garamond"/>
      <w:b w:val="0"/>
      <w:bCs/>
      <w:i w:val="0"/>
      <w:color w:val="1C1917"/>
      <w:sz w:val="44"/>
      <w:szCs w:val="4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00" w:line="264" w:lineRule="auto"/>
      <w:outlineLvl w:val="1"/>
    </w:pPr>
    <w:rPr>
      <w:rFonts w:ascii="EB Garamond" w:hAnsi="EB Garamond" w:cs="EB Garamond" w:eastAsia="EB Garamond"/>
      <w:b/>
      <w:bCs/>
      <w:i w:val="0"/>
      <w:color w:val="1C1917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 w:line="264" w:lineRule="auto"/>
      <w:outlineLvl w:val="2"/>
    </w:pPr>
    <w:rPr>
      <w:rFonts w:ascii="EB Garamond" w:hAnsi="EB Garamond" w:cs="EB Garamond" w:eastAsia="EB Garamond"/>
      <w:b/>
      <w:bCs/>
      <w:i w:val="0"/>
      <w:color w:val="1C1917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="EB Garamond" w:hAnsi="EB Garamond" w:cs="EB Garamond" w:eastAsia="EB Garamond"/>
      <w:b w:val="0"/>
      <w:color w:val="1C1917"/>
      <w:spacing w:val="5"/>
      <w:kern w:val="28"/>
      <w:sz w:val="60"/>
      <w:szCs w:val="60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80"/>
    </w:pPr>
    <w:rPr>
      <w:rFonts w:ascii="Lato" w:hAnsi="Lato" w:cs="Lato" w:eastAsia="Lato"/>
      <w:i w:val="0"/>
      <w:iCs/>
      <w:color w:val="72706F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>
      <w:spacing w:before="160" w:after="160"/>
      <w:ind w:left="567"/>
    </w:pPr>
    <w:rPr>
      <w:rFonts w:ascii="EB Garamond" w:hAnsi="EB Garamond" w:cs="EB Garamond" w:eastAsia="EB Garamond"/>
      <w:i/>
      <w:iCs/>
      <w:color w:val="1C1917"/>
      <w:sz w:val="30"/>
      <w:szCs w:val="3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Lato" w:hAnsi="Lato" w:cs="Lato" w:eastAsia="Lato"/>
      <w:b w:val="0"/>
      <w:bCs/>
      <w:i/>
      <w:color w:val="72706F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OC1">
    <w:name w:val="TOC 1"/>
    <w:basedOn w:val="Normal"/>
    <w:pPr>
      <w:tabs>
        <w:tab w:pos="9411" w:val="right" w:leader="dot"/>
      </w:tabs>
      <w:spacing w:after="120"/>
      <w:ind w:left="0"/>
    </w:pPr>
    <w:rPr>
      <w:rFonts w:ascii="Lato" w:hAnsi="Lato" w:cs="Lato" w:eastAsia="Lato"/>
      <w:b/>
      <w:sz w:val="24"/>
      <w:szCs w:val="24"/>
    </w:rPr>
  </w:style>
  <w:style w:type="paragraph" w:customStyle="1" w:styleId="TOC2">
    <w:name w:val="TOC 2"/>
    <w:basedOn w:val="Normal"/>
    <w:pPr>
      <w:tabs>
        <w:tab w:pos="9411" w:val="right" w:leader="dot"/>
      </w:tabs>
      <w:spacing w:after="80"/>
      <w:ind w:left="340"/>
    </w:pPr>
    <w:rPr>
      <w:rFonts w:ascii="Lato" w:hAnsi="Lato" w:cs="Lato" w:eastAsia="Lato"/>
      <w:b w:val="0"/>
      <w:sz w:val="22"/>
      <w:szCs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Morphiq</dc:creator>
  <cp:keywords/>
  <dc:description>Editable Morphiq template — styles: Home &gt; Styles; update the contents table: right-click &gt; Update Field.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