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double" w:sz="12" w:space="0" w:color="6D28D9"/>
          <w:left w:val="double" w:sz="12" w:space="0" w:color="6D28D9"/>
          <w:bottom w:val="double" w:sz="12" w:space="0" w:color="6D28D9"/>
          <w:right w:val="double" w:sz="12" w:space="0" w:color="6D28D9"/>
        </w:tblBorders>
        <w:tblCellMar>
          <w:top w:w="300" w:type="dxa"/>
          <w:left w:w="600" w:type="dxa"/>
          <w:bottom w:w="300" w:type="dxa"/>
          <w:right w:w="600" w:type="dxa"/>
        </w:tblCellMar>
      </w:tblPr>
      <w:tblGrid>
        <w:gridCol w:w="9412"/>
      </w:tblGrid>
      <w:tr>
        <w:trPr>
          <w:trHeight w:val="14071" w:hRule="exact"/>
        </w:trPr>
        <w:tc>
          <w:tcPr>
            <w:tcW w:type="dxa" w:w="9411"/>
            <w:vAlign w:val="center"/>
          </w:tcPr>
          <w:p>
            <w:pPr>
              <w:spacing w:after="480"/>
              <w:jc w:val="center"/>
            </w:pPr>
            <w:r>
              <w:rPr>
                <w:b/>
                <w:i w:val="0"/>
                <w:caps/>
                <w:color w:val="6D28D9"/>
                <w:sz w:val="20"/>
                <w:spacing w:val="60"/>
              </w:rPr>
              <w:t>Case Study · Marketing</w:t>
            </w:r>
          </w:p>
          <w:p>
            <w:pPr>
              <w:pStyle w:val="Title"/>
              <w:jc w:val="center"/>
            </w:pPr>
            <w:r>
              <w:t>Reviving a D2C Skincare Brand with Community-Led Marketing</w:t>
            </w:r>
          </w:p>
          <w:p>
            <w:pPr>
              <w:jc w:val="center"/>
            </w:pPr>
            <w:r>
              <w:rPr>
                <w:b/>
                <w:i w:val="0"/>
                <w:color w:val="6D28D9"/>
                <w:sz w:val="28"/>
              </w:rPr>
              <w:t>———</w:t>
            </w:r>
          </w:p>
          <w:p>
            <w:pPr>
              <w:spacing w:after="1200"/>
              <w:jc w:val="center"/>
            </w:pPr>
            <w:r>
              <w:rPr>
                <w:b w:val="0"/>
                <w:i w:val="0"/>
                <w:color w:val="72706F"/>
                <w:sz w:val="26"/>
              </w:rPr>
              <w:t>How a small brand cut acquisition costs by building a customer community</w:t>
            </w:r>
          </w:p>
          <w:p>
            <w:pPr>
              <w:spacing w:after="0"/>
              <w:jc w:val="center"/>
            </w:pPr>
            <w:r>
              <w:rPr>
                <w:b/>
                <w:i w:val="0"/>
                <w:color w:val="72706F"/>
                <w:sz w:val="16"/>
                <w:spacing w:val="30"/>
              </w:rPr>
              <w:t>ORGANISATION</w:t>
            </w:r>
          </w:p>
          <w:p>
            <w:pPr>
              <w:spacing w:after="160"/>
              <w:jc w:val="center"/>
            </w:pPr>
            <w:r>
              <w:rPr>
                <w:b/>
                <w:i w:val="0"/>
                <w:color w:val="1C1917"/>
                <w:sz w:val="22"/>
              </w:rPr>
              <w:t>Leafy Glow (fictional brand)</w:t>
            </w:r>
          </w:p>
          <w:p>
            <w:pPr>
              <w:spacing w:after="0"/>
              <w:jc w:val="center"/>
            </w:pPr>
            <w:r>
              <w:rPr>
                <w:b/>
                <w:i w:val="0"/>
                <w:color w:val="72706F"/>
                <w:sz w:val="16"/>
                <w:spacing w:val="30"/>
              </w:rPr>
              <w:t>SECTOR</w:t>
            </w:r>
          </w:p>
          <w:p>
            <w:pPr>
              <w:spacing w:after="160"/>
              <w:jc w:val="center"/>
            </w:pPr>
            <w:r>
              <w:rPr>
                <w:b/>
                <w:i w:val="0"/>
                <w:color w:val="1C1917"/>
                <w:sz w:val="22"/>
              </w:rPr>
              <w:t>Direct-to-consumer beauty</w:t>
            </w:r>
          </w:p>
          <w:p>
            <w:pPr>
              <w:spacing w:after="0"/>
              <w:jc w:val="center"/>
            </w:pPr>
            <w:r>
              <w:rPr>
                <w:b/>
                <w:i w:val="0"/>
                <w:color w:val="72706F"/>
                <w:sz w:val="16"/>
                <w:spacing w:val="30"/>
              </w:rPr>
              <w:t>PREPARED BY</w:t>
            </w:r>
          </w:p>
          <w:p>
            <w:pPr>
              <w:spacing w:after="160"/>
              <w:jc w:val="center"/>
            </w:pPr>
            <w:r>
              <w:rPr>
                <w:b/>
                <w:i w:val="0"/>
                <w:color w:val="1C1917"/>
                <w:sz w:val="22"/>
              </w:rPr>
              <w:t>Case writer: Your Name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01  At a Glance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4" w:space="0" w:color="CDCCCC"/>
          <w:left w:val="single" w:sz="4" w:space="0" w:color="CDCCCC"/>
          <w:bottom w:val="single" w:sz="4" w:space="0" w:color="CDCCCC"/>
          <w:right w:val="single" w:sz="4" w:space="0" w:color="CDCCCC"/>
          <w:insideH w:val="single" w:sz="4" w:space="0" w:color="CDCCCC"/>
          <w:insideV w:val="single" w:sz="4" w:space="0" w:color="CDCCCC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F0EAFB"/>
          </w:tcPr>
          <w:p>
            <w:pPr>
              <w:spacing w:after="0"/>
            </w:pPr>
            <w:r>
              <w:rPr>
                <w:b/>
              </w:rPr>
              <w:t>Organisation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Leafy Glow (fictional brand)</w:t>
            </w:r>
          </w:p>
        </w:tc>
      </w:tr>
      <w:tr>
        <w:tc>
          <w:tcPr>
            <w:tcW w:type="dxa" w:w="2381"/>
            <w:shd w:val="clear" w:color="auto" w:fill="F0EAFB"/>
          </w:tcPr>
          <w:p>
            <w:pPr>
              <w:spacing w:after="0"/>
            </w:pPr>
            <w:r>
              <w:rPr>
                <w:b/>
              </w:rPr>
              <w:t>Sector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Direct-to-consumer beauty</w:t>
            </w:r>
          </w:p>
        </w:tc>
      </w:tr>
      <w:tr>
        <w:tc>
          <w:tcPr>
            <w:tcW w:type="dxa" w:w="2381"/>
            <w:shd w:val="clear" w:color="auto" w:fill="F0EAFB"/>
          </w:tcPr>
          <w:p>
            <w:pPr>
              <w:spacing w:after="0"/>
            </w:pPr>
            <w:r>
              <w:rPr>
                <w:b/>
              </w:rPr>
              <w:t>Location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Bengaluru</w:t>
            </w:r>
          </w:p>
        </w:tc>
      </w:tr>
      <w:tr>
        <w:tc>
          <w:tcPr>
            <w:tcW w:type="dxa" w:w="2381"/>
            <w:shd w:val="clear" w:color="auto" w:fill="F0EAFB"/>
          </w:tcPr>
          <w:p>
            <w:pPr>
              <w:spacing w:after="0"/>
            </w:pPr>
            <w:r>
              <w:rPr>
                <w:b/>
              </w:rPr>
              <w:t>Challenge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Rising ad costs and falling repeat purchases</w:t>
            </w:r>
          </w:p>
        </w:tc>
      </w:tr>
      <w:tr>
        <w:tc>
          <w:tcPr>
            <w:tcW w:type="dxa" w:w="2381"/>
            <w:shd w:val="clear" w:color="auto" w:fill="F0EAFB"/>
          </w:tcPr>
          <w:p>
            <w:pPr>
              <w:spacing w:after="0"/>
            </w:pPr>
            <w:r>
              <w:rPr>
                <w:b/>
              </w:rPr>
              <w:t>Solution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Community programme, content partnerships and a referral scheme</w:t>
            </w:r>
          </w:p>
        </w:tc>
      </w:tr>
      <w:tr>
        <w:tc>
          <w:tcPr>
            <w:tcW w:type="dxa" w:w="2381"/>
            <w:shd w:val="clear" w:color="auto" w:fill="F0EAFB"/>
          </w:tcPr>
          <w:p>
            <w:pPr>
              <w:spacing w:after="0"/>
            </w:pPr>
            <w:r>
              <w:rPr>
                <w:b/>
              </w:rPr>
              <w:t>Timeframe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9 months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CellMar>
          <w:top w:w="140" w:type="dxa"/>
          <w:left w:w="140" w:type="dxa"/>
          <w:bottom w:w="140" w:type="dxa"/>
          <w:right w:w="140" w:type="dxa"/>
        </w:tblCellMar>
      </w:tblPr>
      <w:tblGrid>
        <w:gridCol w:w="3137"/>
        <w:gridCol w:w="3137"/>
        <w:gridCol w:w="3137"/>
      </w:tblGrid>
      <w:tr>
        <w:tc>
          <w:tcPr>
            <w:tcW w:type="dxa" w:w="3137"/>
            <w:shd w:val="clear" w:color="auto" w:fill="DFD0F7"/>
          </w:tcPr>
          <w:p>
            <w:pPr>
              <w:spacing w:after="40"/>
            </w:pPr>
            <w:r>
              <w:rPr>
                <w:rFonts w:ascii="Cambria" w:hAnsi="Cambria" w:cs="Cambria" w:eastAsia="Cambria"/>
                <w:b/>
                <w:color w:val="6D28D9"/>
                <w:sz w:val="40"/>
              </w:rPr>
              <w:t>−38%</w:t>
            </w:r>
          </w:p>
          <w:p>
            <w:pPr>
              <w:spacing w:after="0"/>
            </w:pPr>
            <w:r>
              <w:rPr>
                <w:sz w:val="18"/>
              </w:rPr>
              <w:t>Acquisition cost (sample)</w:t>
            </w:r>
          </w:p>
        </w:tc>
        <w:tc>
          <w:tcPr>
            <w:tcW w:type="dxa" w:w="3137"/>
            <w:shd w:val="clear" w:color="auto" w:fill="DFD0F7"/>
          </w:tcPr>
          <w:p>
            <w:pPr>
              <w:spacing w:after="40"/>
            </w:pPr>
            <w:r>
              <w:rPr>
                <w:rFonts w:ascii="Cambria" w:hAnsi="Cambria" w:cs="Cambria" w:eastAsia="Cambria"/>
                <w:b/>
                <w:color w:val="6D28D9"/>
                <w:sz w:val="40"/>
              </w:rPr>
              <w:t>2.1×</w:t>
            </w:r>
          </w:p>
          <w:p>
            <w:pPr>
              <w:spacing w:after="0"/>
            </w:pPr>
            <w:r>
              <w:rPr>
                <w:sz w:val="18"/>
              </w:rPr>
              <w:t>Repeat purchase rate</w:t>
            </w:r>
          </w:p>
        </w:tc>
        <w:tc>
          <w:tcPr>
            <w:tcW w:type="dxa" w:w="3137"/>
            <w:shd w:val="clear" w:color="auto" w:fill="DFD0F7"/>
          </w:tcPr>
          <w:p>
            <w:pPr>
              <w:spacing w:after="40"/>
            </w:pPr>
            <w:r>
              <w:rPr>
                <w:rFonts w:ascii="Cambria" w:hAnsi="Cambria" w:cs="Cambria" w:eastAsia="Cambria"/>
                <w:b/>
                <w:color w:val="6D28D9"/>
                <w:sz w:val="40"/>
              </w:rPr>
              <w:t>9 mo</w:t>
            </w:r>
          </w:p>
          <w:p>
            <w:pPr>
              <w:spacing w:after="0"/>
            </w:pPr>
            <w:r>
              <w:rPr>
                <w:sz w:val="18"/>
              </w:rPr>
              <w:t>Programme duration</w:t>
            </w:r>
          </w:p>
        </w:tc>
      </w:tr>
    </w:tbl>
    <w:p>
      <w:pPr>
        <w:spacing w:after="120"/>
      </w:pPr>
    </w:p>
    <w:p>
      <w:pPr>
        <w:pStyle w:val="Caption"/>
      </w:pPr>
      <w:r>
        <w:t>Organisation and outcomes are illustrative; figures are sample data for teaching and templating purposes.</w:t>
      </w:r>
    </w:p>
    <w:p>
      <w:pPr>
        <w:pStyle w:val="Heading1"/>
      </w:pPr>
      <w:r>
        <w:t>02  Background</w:t>
      </w:r>
    </w:p>
    <w:p>
      <w:pPr>
        <w:jc w:val="both"/>
      </w:pPr>
      <w:r>
        <w:t>Leafy Glow launched three years ago with a range of plant-based skincare products sold through its own website and marketplaces. Early growth came almost entirely from paid social media advertising.</w:t>
      </w:r>
    </w:p>
    <w:p>
      <w:pPr>
        <w:jc w:val="both"/>
      </w:pPr>
      <w:r>
        <w:t>By the third year, competition had increased and the cost of acquiring each new customer had nearly doubled, while many customers bought only once.</w:t>
      </w:r>
    </w:p>
    <w:p>
      <w:pPr>
        <w:pStyle w:val="Heading1"/>
      </w:pPr>
      <w:r>
        <w:t>03  The Challenge</w:t>
      </w:r>
    </w:p>
    <w:p>
      <w:pPr>
        <w:jc w:val="both"/>
      </w:pPr>
      <w:r>
        <w:t>The founders realised that the brand was renting attention rather than building loyalty. Without a change, marketing spend would keep rising faster than revenue.</w:t>
      </w:r>
    </w:p>
    <w:p>
      <w:pPr>
        <w:pStyle w:val="ListBullet"/>
      </w:pPr>
      <w:r>
        <w:t>Customer acquisition cost rising every quarter</w:t>
      </w:r>
    </w:p>
    <w:p>
      <w:pPr>
        <w:pStyle w:val="ListBullet"/>
      </w:pPr>
      <w:r>
        <w:t>Low repeat purchase rate</w:t>
      </w:r>
    </w:p>
    <w:p>
      <w:pPr>
        <w:pStyle w:val="ListBullet"/>
      </w:pPr>
      <w:r>
        <w:t>Little customer feedback beyond reviews</w:t>
      </w:r>
    </w:p>
    <w:p>
      <w:pPr>
        <w:pStyle w:val="ListBullet"/>
      </w:pPr>
      <w:r>
        <w:t>Heavy dependence on one advertising channel</w:t>
      </w:r>
    </w:p>
    <w:p>
      <w:pPr>
        <w:pStyle w:val="Quote"/>
      </w:pPr>
      <w:r>
        <w:t>We were paying again and again to reach people who already knew us.</w:t>
      </w:r>
    </w:p>
    <w:p>
      <w:pPr>
        <w:spacing w:after="160"/>
        <w:jc w:val="right"/>
      </w:pPr>
      <w:r>
        <w:rPr>
          <w:i/>
          <w:color w:val="72706F"/>
        </w:rPr>
        <w:t>— Co-founder, Leafy Glow (fictional)</w:t>
      </w:r>
    </w:p>
    <w:p>
      <w:pPr>
        <w:pStyle w:val="Heading1"/>
      </w:pPr>
      <w:r>
        <w:t>04  Objectives</w:t>
      </w:r>
    </w:p>
    <w:p>
      <w:pPr>
        <w:pStyle w:val="ListNumber"/>
      </w:pPr>
      <w:r>
        <w:t>Reduce dependence on paid advertising.</w:t>
      </w:r>
    </w:p>
    <w:p>
      <w:pPr>
        <w:pStyle w:val="ListNumber"/>
      </w:pPr>
      <w:r>
        <w:t>Increase repeat purchases.</w:t>
      </w:r>
    </w:p>
    <w:p>
      <w:pPr>
        <w:pStyle w:val="ListNumber"/>
      </w:pPr>
      <w:r>
        <w:t>Turn satisfied customers into advocates.</w:t>
      </w:r>
    </w:p>
    <w:p>
      <w:pPr>
        <w:pStyle w:val="Heading1"/>
      </w:pPr>
      <w:r>
        <w:t>05  Approach</w:t>
      </w:r>
    </w:p>
    <w:p>
      <w:pPr>
        <w:jc w:val="both"/>
      </w:pPr>
      <w:r>
        <w:t>The team designed a nine-month programme in three phases, testing small ideas first and scaling what worked.</w:t>
      </w:r>
    </w:p>
    <w:p>
      <w:pPr>
        <w:pStyle w:val="Heading2"/>
      </w:pPr>
      <w:r>
        <w:t>Phase 1: Listen</w:t>
      </w:r>
    </w:p>
    <w:p>
      <w:pPr>
        <w:jc w:val="both"/>
      </w:pPr>
      <w:r>
        <w:t>Interviews with 40 customers and analysis of reviews revealed that customers valued ingredient transparency and skincare routines more than discounts.</w:t>
      </w:r>
    </w:p>
    <w:p>
      <w:pPr>
        <w:pStyle w:val="ListBullet"/>
      </w:pPr>
      <w:r>
        <w:t>Customer interviews</w:t>
      </w:r>
    </w:p>
    <w:p>
      <w:pPr>
        <w:pStyle w:val="ListBullet"/>
      </w:pPr>
      <w:r>
        <w:t>Review analysis</w:t>
      </w:r>
    </w:p>
    <w:p>
      <w:pPr>
        <w:pStyle w:val="ListBullet"/>
      </w:pPr>
      <w:r>
        <w:t>Persona refresh</w:t>
      </w:r>
    </w:p>
    <w:p>
      <w:pPr>
        <w:pStyle w:val="Heading2"/>
      </w:pPr>
      <w:r>
        <w:t>Phase 2: Build the community</w:t>
      </w:r>
    </w:p>
    <w:p>
      <w:pPr>
        <w:jc w:val="both"/>
      </w:pPr>
      <w:r>
        <w:t>The brand launched a moderated online community where customers shared routines and asked questions to an in-house skin expert.</w:t>
      </w:r>
    </w:p>
    <w:p>
      <w:pPr>
        <w:pStyle w:val="ListBullet"/>
      </w:pPr>
      <w:r>
        <w:t>Weekly live Q&amp;A</w:t>
      </w:r>
    </w:p>
    <w:p>
      <w:pPr>
        <w:pStyle w:val="ListBullet"/>
      </w:pPr>
      <w:r>
        <w:t>Routine challenges</w:t>
      </w:r>
    </w:p>
    <w:p>
      <w:pPr>
        <w:pStyle w:val="ListBullet"/>
      </w:pPr>
      <w:r>
        <w:t>Member-only early access</w:t>
      </w:r>
    </w:p>
    <w:p>
      <w:pPr>
        <w:pStyle w:val="Heading2"/>
      </w:pPr>
      <w:r>
        <w:t>Phase 3: Reward advocacy</w:t>
      </w:r>
    </w:p>
    <w:p>
      <w:pPr>
        <w:jc w:val="both"/>
      </w:pPr>
      <w:r>
        <w:t>A referral programme rewarded members with products rather than discounts, and micro-creators from the community were invited to co-create content.</w:t>
      </w:r>
    </w:p>
    <w:p>
      <w:pPr>
        <w:pStyle w:val="ListBullet"/>
      </w:pPr>
      <w:r>
        <w:t>Referral rewards</w:t>
      </w:r>
    </w:p>
    <w:p>
      <w:pPr>
        <w:pStyle w:val="ListBullet"/>
      </w:pPr>
      <w:r>
        <w:t>Creator partnerships</w:t>
      </w:r>
    </w:p>
    <w:p>
      <w:pPr>
        <w:pStyle w:val="ListBullet"/>
      </w:pPr>
      <w:r>
        <w:t>User-generated content library</w:t>
      </w:r>
    </w:p>
    <w:p>
      <w:pPr>
        <w:pStyle w:val="Heading2"/>
      </w:pPr>
      <w:r>
        <w:t>Implementation Timeline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16"/>
        <w:gridCol w:w="3361"/>
        <w:gridCol w:w="4033"/>
      </w:tblGrid>
      <w:tr>
        <w:trPr>
          <w:tblHeader/>
        </w:trPr>
        <w:tc>
          <w:tcPr>
            <w:tcW w:type="dxa" w:w="2017"/>
            <w:vAlign w:val="center"/>
            <w:shd w:val="clear" w:color="auto" w:fill="6D28D9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Period</w:t>
            </w:r>
          </w:p>
        </w:tc>
        <w:tc>
          <w:tcPr>
            <w:tcW w:type="dxa" w:w="3361"/>
            <w:vAlign w:val="center"/>
            <w:shd w:val="clear" w:color="auto" w:fill="6D28D9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Milestone</w:t>
            </w:r>
          </w:p>
        </w:tc>
        <w:tc>
          <w:tcPr>
            <w:tcW w:type="dxa" w:w="4033"/>
            <w:vAlign w:val="center"/>
            <w:shd w:val="clear" w:color="auto" w:fill="6D28D9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Notes</w:t>
            </w:r>
          </w:p>
        </w:tc>
      </w:tr>
      <w:tr>
        <w:tc>
          <w:tcPr>
            <w:tcW w:type="dxa" w:w="201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Month 1–2</w:t>
            </w:r>
          </w:p>
        </w:tc>
        <w:tc>
          <w:tcPr>
            <w:tcW w:type="dxa" w:w="336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Customer research</w:t>
            </w:r>
          </w:p>
        </w:tc>
        <w:tc>
          <w:tcPr>
            <w:tcW w:type="dxa" w:w="403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Interviews and survey</w:t>
            </w:r>
          </w:p>
        </w:tc>
      </w:tr>
      <w:tr>
        <w:tc>
          <w:tcPr>
            <w:tcW w:type="dxa" w:w="2017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Month 3</w:t>
            </w:r>
          </w:p>
        </w:tc>
        <w:tc>
          <w:tcPr>
            <w:tcW w:type="dxa" w:w="3361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Community launch</w:t>
            </w:r>
          </w:p>
        </w:tc>
        <w:tc>
          <w:tcPr>
            <w:tcW w:type="dxa" w:w="4033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Soft launch to repeat buyers</w:t>
            </w:r>
          </w:p>
        </w:tc>
      </w:tr>
      <w:tr>
        <w:tc>
          <w:tcPr>
            <w:tcW w:type="dxa" w:w="201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Month 4–6</w:t>
            </w:r>
          </w:p>
        </w:tc>
        <w:tc>
          <w:tcPr>
            <w:tcW w:type="dxa" w:w="336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Content and live sessions</w:t>
            </w:r>
          </w:p>
        </w:tc>
        <w:tc>
          <w:tcPr>
            <w:tcW w:type="dxa" w:w="403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Weekly cadence</w:t>
            </w:r>
          </w:p>
        </w:tc>
      </w:tr>
      <w:tr>
        <w:tc>
          <w:tcPr>
            <w:tcW w:type="dxa" w:w="2017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Month 7–9</w:t>
            </w:r>
          </w:p>
        </w:tc>
        <w:tc>
          <w:tcPr>
            <w:tcW w:type="dxa" w:w="3361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Referral programme</w:t>
            </w:r>
          </w:p>
        </w:tc>
        <w:tc>
          <w:tcPr>
            <w:tcW w:type="dxa" w:w="4033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Scaled after pilot</w:t>
            </w:r>
          </w:p>
        </w:tc>
      </w:tr>
    </w:tbl>
    <w:p>
      <w:pPr>
        <w:spacing w:after="80"/>
      </w:pPr>
    </w:p>
    <w:p>
      <w:pPr>
        <w:pStyle w:val="Heading1"/>
      </w:pPr>
      <w:r>
        <w:t>06  Results</w:t>
      </w:r>
    </w:p>
    <w:p>
      <w:pPr>
        <w:jc w:val="both"/>
      </w:pPr>
      <w:r>
        <w:t>After nine months the brand relied less on advertising and its customers were buying more often.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137"/>
        <w:gridCol w:w="3137"/>
        <w:gridCol w:w="3137"/>
      </w:tblGrid>
      <w:tr>
        <w:trPr>
          <w:tblHeader/>
        </w:trPr>
        <w:tc>
          <w:tcPr>
            <w:tcW w:type="dxa" w:w="3137"/>
            <w:vAlign w:val="center"/>
            <w:shd w:val="clear" w:color="auto" w:fill="6D28D9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Metric</w:t>
            </w:r>
          </w:p>
        </w:tc>
        <w:tc>
          <w:tcPr>
            <w:tcW w:type="dxa" w:w="3137"/>
            <w:vAlign w:val="center"/>
            <w:shd w:val="clear" w:color="auto" w:fill="6D28D9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Before</w:t>
            </w:r>
          </w:p>
        </w:tc>
        <w:tc>
          <w:tcPr>
            <w:tcW w:type="dxa" w:w="3137"/>
            <w:vAlign w:val="center"/>
            <w:shd w:val="clear" w:color="auto" w:fill="6D28D9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After</w:t>
            </w:r>
          </w:p>
        </w:tc>
      </w:tr>
      <w:tr>
        <w:tc>
          <w:tcPr>
            <w:tcW w:type="dxa" w:w="313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Customer acquisition cost (₹)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820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510</w:t>
            </w:r>
          </w:p>
        </w:tc>
      </w:tr>
      <w:tr>
        <w:tc>
          <w:tcPr>
            <w:tcW w:type="dxa" w:w="3137"/>
            <w:vAlign w:val="center"/>
            <w:shd w:val="clear" w:color="auto" w:fill="F0EAFB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Repeat purchase rate</w:t>
            </w:r>
          </w:p>
        </w:tc>
        <w:tc>
          <w:tcPr>
            <w:tcW w:type="dxa" w:w="3137"/>
            <w:vAlign w:val="center"/>
            <w:shd w:val="clear" w:color="auto" w:fill="F0EAFB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18%</w:t>
            </w:r>
          </w:p>
        </w:tc>
        <w:tc>
          <w:tcPr>
            <w:tcW w:type="dxa" w:w="3137"/>
            <w:vAlign w:val="center"/>
            <w:shd w:val="clear" w:color="auto" w:fill="F0EAFB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38%</w:t>
            </w:r>
          </w:p>
        </w:tc>
      </w:tr>
      <w:tr>
        <w:tc>
          <w:tcPr>
            <w:tcW w:type="dxa" w:w="313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Share of sales from referrals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3%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17%</w:t>
            </w:r>
          </w:p>
        </w:tc>
      </w:tr>
      <w:tr>
        <w:tc>
          <w:tcPr>
            <w:tcW w:type="dxa" w:w="3137"/>
            <w:vAlign w:val="center"/>
            <w:shd w:val="clear" w:color="auto" w:fill="F0EAFB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Average rating</w:t>
            </w:r>
          </w:p>
        </w:tc>
        <w:tc>
          <w:tcPr>
            <w:tcW w:type="dxa" w:w="3137"/>
            <w:vAlign w:val="center"/>
            <w:shd w:val="clear" w:color="auto" w:fill="F0EAFB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4.1</w:t>
            </w:r>
          </w:p>
        </w:tc>
        <w:tc>
          <w:tcPr>
            <w:tcW w:type="dxa" w:w="3137"/>
            <w:vAlign w:val="center"/>
            <w:shd w:val="clear" w:color="auto" w:fill="F0EAFB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4.4</w:t>
            </w:r>
          </w:p>
        </w:tc>
      </w:tr>
    </w:tbl>
    <w:p>
      <w:pPr>
        <w:spacing w:after="80"/>
      </w:pPr>
    </w:p>
    <w:p>
      <w:pPr>
        <w:pStyle w:val="Caption"/>
        <w:jc w:val="center"/>
      </w:pPr>
      <w:r>
        <w:t>Exhibit 1: Key metrics before and after (sample data)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4" w:space="0" w:color="CDCCCC"/>
          <w:left w:val="single" w:sz="4" w:space="0" w:color="CDCCCC"/>
          <w:bottom w:val="single" w:sz="4" w:space="0" w:color="CDCCCC"/>
          <w:right w:val="single" w:sz="4" w:space="0" w:color="CDCCCC"/>
          <w:insideH w:val="single" w:sz="4" w:space="0" w:color="CDCCCC"/>
          <w:insideV w:val="single" w:sz="4" w:space="0" w:color="CDCCCC"/>
        </w:tblBorders>
      </w:tblPr>
      <w:tblGrid>
        <w:gridCol w:w="9412"/>
      </w:tblGrid>
      <w:tr>
        <w:trPr>
          <w:trHeight w:val="3118" w:hRule="exact"/>
        </w:trPr>
        <w:tc>
          <w:tcPr>
            <w:tcW w:type="dxa" w:w="9411"/>
            <w:shd w:val="clear" w:color="auto" w:fill="F0EAFB"/>
            <w:vAlign w:val="center"/>
          </w:tcPr>
          <w:p>
            <w:pPr>
              <w:jc w:val="center"/>
            </w:pPr>
            <w:r>
              <w:rPr>
                <w:color w:val="72706F"/>
                <w:sz w:val="20"/>
              </w:rPr>
              <w:t>Chart placeholder — insert a before/after chart</w:t>
            </w:r>
          </w:p>
        </w:tc>
      </w:tr>
    </w:tbl>
    <w:p>
      <w:pPr>
        <w:pStyle w:val="Caption"/>
        <w:spacing w:before="80"/>
        <w:jc w:val="center"/>
      </w:pPr>
      <w:r>
        <w:t>Exhibit 2: Trend over the implementation period (sample data)</w:t>
      </w:r>
    </w:p>
    <w:p>
      <w:pPr>
        <w:pStyle w:val="Heading1"/>
      </w:pPr>
      <w:r>
        <w:t>07  Lessons Learned</w:t>
      </w:r>
    </w:p>
    <w:p>
      <w:pPr>
        <w:spacing w:after="80"/>
      </w:pPr>
      <w:r>
        <w:rPr>
          <w:b/>
          <w:color w:val="6D28D9"/>
        </w:rPr>
        <w:t xml:space="preserve">Listen before you launch. </w:t>
      </w:r>
      <w:r>
        <w:t>Customer research changed the programme’s focus from discounts to education.</w:t>
      </w:r>
    </w:p>
    <w:p>
      <w:pPr>
        <w:spacing w:after="80"/>
      </w:pPr>
      <w:r>
        <w:rPr>
          <w:b/>
          <w:color w:val="6D28D9"/>
        </w:rPr>
        <w:t xml:space="preserve">Start small. </w:t>
      </w:r>
      <w:r>
        <w:t>A soft launch with loyal customers created an engaged core.</w:t>
      </w:r>
    </w:p>
    <w:p>
      <w:pPr>
        <w:spacing w:after="80"/>
      </w:pPr>
      <w:r>
        <w:rPr>
          <w:b/>
          <w:color w:val="6D28D9"/>
        </w:rPr>
        <w:t xml:space="preserve">Reward with value, not discounts. </w:t>
      </w:r>
      <w:r>
        <w:t>Product rewards protected margins and brand perception.</w:t>
      </w:r>
    </w:p>
    <w:p>
      <w:pPr>
        <w:pStyle w:val="Heading1"/>
      </w:pPr>
      <w:r>
        <w:t>08  Analysis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blBorders>
      </w:tblPr>
      <w:tblGrid>
        <w:gridCol w:w="4706"/>
        <w:gridCol w:w="4706"/>
      </w:tblGrid>
      <w:tr>
        <w:tc>
          <w:tcPr>
            <w:tcW w:type="dxa" w:w="4706"/>
            <w:shd w:val="clear" w:color="auto" w:fill="F0EAFB"/>
          </w:tcPr>
          <w:p>
            <w:r>
              <w:rPr>
                <w:b/>
                <w:color w:val="6D28D9"/>
              </w:rPr>
              <w:t>What worked</w:t>
            </w:r>
          </w:p>
          <w:p>
            <w:pPr>
              <w:spacing w:after="40"/>
            </w:pPr>
            <w:r>
              <w:t>• Clear customer insight</w:t>
            </w:r>
          </w:p>
          <w:p>
            <w:pPr>
              <w:spacing w:after="40"/>
            </w:pPr>
            <w:r>
              <w:t>• Consistent weekly content</w:t>
            </w:r>
          </w:p>
        </w:tc>
        <w:tc>
          <w:tcPr>
            <w:tcW w:type="dxa" w:w="4706"/>
            <w:shd w:val="clear" w:color="auto" w:fill="DFD0F7"/>
          </w:tcPr>
          <w:p>
            <w:r>
              <w:rPr>
                <w:b/>
                <w:color w:val="6D28D9"/>
              </w:rPr>
              <w:t>What was difficult</w:t>
            </w:r>
          </w:p>
          <w:p>
            <w:pPr>
              <w:spacing w:after="40"/>
            </w:pPr>
            <w:r>
              <w:t>• Moderating the community took time</w:t>
            </w:r>
          </w:p>
          <w:p>
            <w:pPr>
              <w:spacing w:after="40"/>
            </w:pPr>
            <w:r>
              <w:t>• Measuring influence on sales</w:t>
            </w:r>
          </w:p>
        </w:tc>
      </w:tr>
      <w:tr>
        <w:tc>
          <w:tcPr>
            <w:tcW w:type="dxa" w:w="4706"/>
            <w:shd w:val="clear" w:color="auto" w:fill="DFD0F7"/>
          </w:tcPr>
          <w:p>
            <w:r>
              <w:rPr>
                <w:b/>
                <w:color w:val="6D28D9"/>
              </w:rPr>
              <w:t>Opportunities</w:t>
            </w:r>
          </w:p>
          <w:p>
            <w:pPr>
              <w:spacing w:after="40"/>
            </w:pPr>
            <w:r>
              <w:t>• Expanding to regional languages</w:t>
            </w:r>
          </w:p>
          <w:p>
            <w:pPr>
              <w:spacing w:after="40"/>
            </w:pPr>
            <w:r>
              <w:t>• Partnerships with dermatologists</w:t>
            </w:r>
          </w:p>
        </w:tc>
        <w:tc>
          <w:tcPr>
            <w:tcW w:type="dxa" w:w="4706"/>
            <w:shd w:val="clear" w:color="auto" w:fill="F0EAFB"/>
          </w:tcPr>
          <w:p>
            <w:r>
              <w:rPr>
                <w:b/>
                <w:color w:val="6D28D9"/>
              </w:rPr>
              <w:t>Risks to sustain</w:t>
            </w:r>
          </w:p>
          <w:p>
            <w:pPr>
              <w:spacing w:after="40"/>
            </w:pPr>
            <w:r>
              <w:t>• Community fatigue</w:t>
            </w:r>
          </w:p>
          <w:p>
            <w:pPr>
              <w:spacing w:after="40"/>
            </w:pPr>
            <w:r>
              <w:t>• Dependence on key moderators</w:t>
            </w:r>
          </w:p>
        </w:tc>
      </w:tr>
    </w:tbl>
    <w:p/>
    <w:p>
      <w:pPr>
        <w:pStyle w:val="Heading1"/>
      </w:pPr>
      <w:r>
        <w:t>09  Discussion Questions</w:t>
      </w:r>
    </w:p>
    <w:p>
      <w:r>
        <w:rPr>
          <w:i/>
          <w:color w:val="72706F"/>
        </w:rPr>
        <w:t>Use these questions for classroom discussion or self-study.</w:t>
      </w:r>
    </w:p>
    <w:p>
      <w:pPr>
        <w:pStyle w:val="ListNumber"/>
      </w:pPr>
      <w:r>
        <w:t>Why did paid advertising become less effective for the brand?</w:t>
      </w:r>
    </w:p>
    <w:p>
      <w:pPr>
        <w:pStyle w:val="ListNumber"/>
      </w:pPr>
      <w:r>
        <w:t>What role did customer research play in shaping the programme?</w:t>
      </w:r>
    </w:p>
    <w:p>
      <w:pPr>
        <w:pStyle w:val="ListNumber"/>
      </w:pPr>
      <w:r>
        <w:t>How would you measure the return on investment of a community?</w:t>
      </w:r>
    </w:p>
    <w:p>
      <w:pPr>
        <w:pStyle w:val="ListNumber"/>
      </w:pPr>
      <w:r>
        <w:t>What risks should the brand monitor as the community grows?</w:t>
      </w:r>
    </w:p>
    <w:p>
      <w:pPr>
        <w:pStyle w:val="Heading1"/>
      </w:pPr>
      <w:r>
        <w:t>10  Conclusion</w:t>
      </w:r>
    </w:p>
    <w:p>
      <w:pPr>
        <w:jc w:val="both"/>
      </w:pPr>
      <w:r>
        <w:t>Leafy Glow showed that a small brand can reduce its dependence on advertising by investing in its customers. The lessons apply to any business where trust and education drive purchase decisions.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85" w:right="1247" w:bottom="1185" w:left="1247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2706F"/>
        <w:sz w:val="18"/>
      </w:rPr>
      <w:t xml:space="preserve">Page </w:t>
    </w:r>
    <w:r>
      <w:rPr>
        <w:color w:val="72706F"/>
        <w:sz w:val="18"/>
      </w:rPr>
      <w:fldChar w:fldCharType="begin"/>
    </w:r>
    <w:r>
      <w:rPr>
        <w:color w:val="72706F"/>
        <w:sz w:val="18"/>
      </w:rPr>
      <w:instrText xml:space="preserve"> PAGE </w:instrText>
    </w:r>
    <w:r>
      <w:rPr>
        <w:color w:val="72706F"/>
        <w:sz w:val="18"/>
      </w:rPr>
      <w:fldChar w:fldCharType="separate"/>
    </w:r>
    <w:r>
      <w:rPr>
        <w:color w:val="72706F"/>
        <w:sz w:val="18"/>
      </w:rPr>
      <w:t>1</w:t>
    </w:r>
    <w:r>
      <w:rPr>
        <w:color w:val="72706F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411" w:val="right"/>
      </w:tabs>
      <w:pBdr>
        <w:bottom w:val="single" w:sz="4" w:space="6" w:color="CDCCCC"/>
      </w:pBdr>
    </w:pPr>
    <w:r/>
    <w:r>
      <w:rPr>
        <w:caps w:val="0"/>
        <w:color w:val="72706F"/>
        <w:sz w:val="17"/>
      </w:rPr>
      <w:t>Case Study · D2C skincare turnaround</w:t>
    </w:r>
    <w:r>
      <w:rPr>
        <w:color w:val="72706F"/>
        <w:sz w:val="17"/>
      </w:rPr>
      <w:tab/>
      <w:t>Marketing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Calibri" w:hAnsi="Calibri" w:cs="Calibri" w:eastAsia="Calibri"/>
      <w:color w:val="1C1917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ind w:left="198"/>
      <w:outlineLvl w:val="0"/>
      <w:pBdr>
        <w:left w:val="single" w:sz="24" w:space="10" w:color="6D28D9"/>
      </w:pBdr>
    </w:pPr>
    <w:rPr>
      <w:rFonts w:ascii="Cambria" w:hAnsi="Cambria" w:cs="Cambria" w:eastAsia="Cambria"/>
      <w:b/>
      <w:bCs/>
      <w:i w:val="0"/>
      <w:color w:val="1C1917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Cambria" w:hAnsi="Cambria" w:cs="Cambria" w:eastAsia="Cambria"/>
      <w:b/>
      <w:bCs/>
      <w:i w:val="0"/>
      <w:color w:val="1C1917"/>
      <w:sz w:val="34"/>
      <w:szCs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Cambria" w:hAnsi="Cambria" w:cs="Cambria" w:eastAsia="Cambria"/>
      <w:b/>
      <w:bCs/>
      <w:i w:val="0"/>
      <w:color w:val="1C1917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Cambria" w:hAnsi="Cambria" w:cs="Cambria" w:eastAsia="Cambria"/>
      <w:b/>
      <w:color w:val="1C1917"/>
      <w:spacing w:val="5"/>
      <w:kern w:val="28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Calibri" w:hAnsi="Calibri" w:cs="Calibri" w:eastAsia="Calibri"/>
      <w:i w:val="0"/>
      <w:iCs/>
      <w:color w:val="72706F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Cambria" w:hAnsi="Cambria" w:cs="Cambria" w:eastAsia="Cambria"/>
      <w:i w:val="0"/>
      <w:iCs/>
      <w:color w:val="1C1917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Calibri" w:hAnsi="Calibri" w:cs="Calibri" w:eastAsia="Calibri"/>
      <w:b w:val="0"/>
      <w:bCs/>
      <w:i/>
      <w:color w:val="72706F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411" w:val="right" w:leader="dot"/>
      </w:tabs>
      <w:spacing w:after="120"/>
      <w:ind w:left="0"/>
    </w:pPr>
    <w:rPr>
      <w:rFonts w:ascii="Calibri" w:hAnsi="Calibri" w:cs="Calibri" w:eastAsia="Calibri"/>
      <w:b/>
      <w:sz w:val="24"/>
      <w:szCs w:val="24"/>
    </w:rPr>
  </w:style>
  <w:style w:type="paragraph" w:customStyle="1" w:styleId="TOC2">
    <w:name w:val="TOC 2"/>
    <w:basedOn w:val="Normal"/>
    <w:pPr>
      <w:tabs>
        <w:tab w:pos="9411" w:val="right" w:leader="dot"/>
      </w:tabs>
      <w:spacing w:after="80"/>
      <w:ind w:left="340"/>
    </w:pPr>
    <w:rPr>
      <w:rFonts w:ascii="Calibri" w:hAnsi="Calibri" w:cs="Calibri" w:eastAsia="Calibri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