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026"/>
      </w:tblGrid>
      <w:tr>
        <w:trPr>
          <w:trHeight w:val="8504" w:hRule="exact"/>
        </w:trPr>
        <w:tc>
          <w:tcPr>
            <w:tcW w:type="dxa" w:w="9026"/>
            <w:shd w:val="clear" w:color="auto" w:fill="B4532A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Case Study · Strategy</w:t>
            </w:r>
          </w:p>
          <w:p>
            <w:pPr>
              <w:pStyle w:val="Title"/>
            </w:pPr>
            <w:r>
              <w:rPr>
                <w:color w:val="FFFFFF"/>
              </w:rPr>
              <w:t>From Dine-In to Cloud Kitchen: A Restaurant Chain’s Pivot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How a family restaurant group redesigned its model for delivery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ORGANISATION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SECTOR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PREPARED BY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Swaad Family Restaurants (fictional)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Food service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At a Glance</w:t>
      </w:r>
      <w:r>
        <w:tab/>
        <w:t>2</w:t>
      </w:r>
    </w:p>
    <w:p>
      <w:pPr>
        <w:pStyle w:val="TOC1"/>
      </w:pPr>
      <w:r>
        <w:t>2. Background</w:t>
      </w:r>
      <w:r>
        <w:tab/>
        <w:t>3</w:t>
      </w:r>
    </w:p>
    <w:p>
      <w:pPr>
        <w:pStyle w:val="TOC1"/>
      </w:pPr>
      <w:r>
        <w:t>3. The Challenge</w:t>
      </w:r>
      <w:r>
        <w:tab/>
        <w:t>3</w:t>
      </w:r>
    </w:p>
    <w:p>
      <w:pPr>
        <w:pStyle w:val="TOC1"/>
      </w:pPr>
      <w:r>
        <w:t>4. Objectives</w:t>
      </w:r>
      <w:r>
        <w:tab/>
        <w:t>3</w:t>
      </w:r>
    </w:p>
    <w:p>
      <w:pPr>
        <w:pStyle w:val="TOC1"/>
      </w:pPr>
      <w:r>
        <w:t>5. Approach</w:t>
      </w:r>
      <w:r>
        <w:tab/>
        <w:t>3</w:t>
      </w:r>
    </w:p>
    <w:p>
      <w:pPr>
        <w:pStyle w:val="TOC2"/>
      </w:pPr>
      <w:r>
        <w:t>Phase 1: Analyse</w:t>
      </w:r>
      <w:r>
        <w:tab/>
        <w:t>3</w:t>
      </w:r>
    </w:p>
    <w:p>
      <w:pPr>
        <w:pStyle w:val="TOC2"/>
      </w:pPr>
      <w:r>
        <w:t>Phase 2: Build cloud kitchens</w:t>
      </w:r>
      <w:r>
        <w:tab/>
        <w:t>4</w:t>
      </w:r>
    </w:p>
    <w:p>
      <w:pPr>
        <w:pStyle w:val="TOC2"/>
      </w:pPr>
      <w:r>
        <w:t>Phase 3: Brand portfolio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6. Results</w:t>
      </w:r>
      <w:r>
        <w:tab/>
        <w:t>4</w:t>
      </w:r>
    </w:p>
    <w:p>
      <w:pPr>
        <w:pStyle w:val="TOC1"/>
      </w:pPr>
      <w:r>
        <w:t>7. Lessons Learned</w:t>
      </w:r>
      <w:r>
        <w:tab/>
        <w:t>5</w:t>
      </w:r>
    </w:p>
    <w:p>
      <w:pPr>
        <w:pStyle w:val="TOC1"/>
      </w:pPr>
      <w:r>
        <w:t>8. Analysis</w:t>
      </w:r>
      <w:r>
        <w:tab/>
        <w:t>5</w:t>
      </w:r>
    </w:p>
    <w:p>
      <w:pPr>
        <w:pStyle w:val="TOC1"/>
      </w:pPr>
      <w:r>
        <w:t>9. Discussion Questions</w:t>
      </w:r>
      <w:r>
        <w:tab/>
        <w:t>5</w:t>
      </w:r>
    </w:p>
    <w:p>
      <w:pPr>
        <w:pStyle w:val="TOC1"/>
      </w:pPr>
      <w:r>
        <w:t>10. Teaching Note</w:t>
      </w:r>
      <w:r>
        <w:tab/>
        <w:t>5</w:t>
      </w:r>
    </w:p>
    <w:p>
      <w:pPr>
        <w:pStyle w:val="TOC1"/>
      </w:pPr>
      <w:r>
        <w:t>11. Appendix: Additional Exhibits</w:t>
      </w:r>
      <w:r>
        <w:tab/>
        <w:t>6</w:t>
      </w:r>
    </w:p>
    <w:p>
      <w:pPr>
        <w:pStyle w:val="TOC1"/>
      </w:pPr>
      <w:r>
        <w:t>12. 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At a Glance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Swaad Family Restaurants (fictional)</w:t>
            </w:r>
          </w:p>
        </w:tc>
      </w:tr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Food service</w:t>
            </w:r>
          </w:p>
        </w:tc>
      </w:tr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Lucknow</w:t>
            </w:r>
          </w:p>
        </w:tc>
      </w:tr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Falling dine-in footfall and high rents</w:t>
            </w:r>
          </w:p>
        </w:tc>
      </w:tr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Two cloud kitchens, delivery-first menu and brand portfolio</w:t>
            </w:r>
          </w:p>
        </w:tc>
      </w:tr>
      <w:tr>
        <w:tc>
          <w:tcPr>
            <w:tcW w:type="dxa" w:w="2381"/>
            <w:shd w:val="clear" w:color="auto" w:fill="F8EEEA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10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EED9D0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B4532A"/>
                <w:sz w:val="40"/>
              </w:rPr>
              <w:t>48%</w:t>
            </w:r>
          </w:p>
          <w:p>
            <w:pPr>
              <w:spacing w:after="0"/>
            </w:pPr>
            <w:r>
              <w:rPr>
                <w:sz w:val="18"/>
              </w:rPr>
              <w:t>Revenue from delivery (sample)</w:t>
            </w:r>
          </w:p>
        </w:tc>
        <w:tc>
          <w:tcPr>
            <w:tcW w:type="dxa" w:w="3009"/>
            <w:shd w:val="clear" w:color="auto" w:fill="EED9D0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B4532A"/>
                <w:sz w:val="40"/>
              </w:rPr>
              <w:t>−30%</w:t>
            </w:r>
          </w:p>
          <w:p>
            <w:pPr>
              <w:spacing w:after="0"/>
            </w:pPr>
            <w:r>
              <w:rPr>
                <w:sz w:val="18"/>
              </w:rPr>
              <w:t>Rent as share of revenue</w:t>
            </w:r>
          </w:p>
        </w:tc>
        <w:tc>
          <w:tcPr>
            <w:tcW w:type="dxa" w:w="3009"/>
            <w:shd w:val="clear" w:color="auto" w:fill="EED9D0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B4532A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Virtual brands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2. Background</w:t>
      </w:r>
    </w:p>
    <w:p>
      <w:pPr>
        <w:jc w:val="both"/>
      </w:pPr>
      <w:r>
        <w:t>Swaad operated four dine-in restaurants serving North Indian food. Rents and staff costs were rising while weekday footfall was declining.</w:t>
      </w:r>
    </w:p>
    <w:p>
      <w:pPr>
        <w:jc w:val="both"/>
      </w:pPr>
      <w:r>
        <w:t>Delivery orders were growing but were fulfilled from dine-in kitchens, causing delays during peak hours.</w:t>
      </w:r>
    </w:p>
    <w:p>
      <w:pPr>
        <w:pStyle w:val="Heading1"/>
      </w:pPr>
      <w:r>
        <w:t>3. The Challenge</w:t>
      </w:r>
    </w:p>
    <w:p>
      <w:pPr>
        <w:jc w:val="both"/>
      </w:pPr>
      <w:r>
        <w:t>The owners needed to decide whether and how to restructure the business around delivery.</w:t>
      </w:r>
    </w:p>
    <w:p>
      <w:pPr>
        <w:pStyle w:val="ListBullet"/>
      </w:pPr>
      <w:r>
        <w:t>High rents in prime locations</w:t>
      </w:r>
    </w:p>
    <w:p>
      <w:pPr>
        <w:pStyle w:val="ListBullet"/>
      </w:pPr>
      <w:r>
        <w:t>Delivery delays during dine-in peaks</w:t>
      </w:r>
    </w:p>
    <w:p>
      <w:pPr>
        <w:pStyle w:val="ListBullet"/>
      </w:pPr>
      <w:r>
        <w:t>Menu not designed for delivery</w:t>
      </w:r>
    </w:p>
    <w:p>
      <w:pPr>
        <w:pStyle w:val="ListBullet"/>
      </w:pPr>
      <w:r>
        <w:t>Thin margins after platform commissions</w:t>
      </w:r>
    </w:p>
    <w:p>
      <w:pPr>
        <w:pStyle w:val="Quote"/>
      </w:pPr>
      <w:r>
        <w:t>Our kitchens were built for plates, not packages.</w:t>
      </w:r>
    </w:p>
    <w:p>
      <w:pPr>
        <w:spacing w:after="160"/>
        <w:jc w:val="right"/>
      </w:pPr>
      <w:r>
        <w:rPr>
          <w:i/>
          <w:color w:val="767676"/>
        </w:rPr>
        <w:t>— Managing Partner (fictional)</w:t>
      </w:r>
    </w:p>
    <w:p>
      <w:pPr>
        <w:pStyle w:val="Heading1"/>
      </w:pPr>
      <w:r>
        <w:t>4. Objectives</w:t>
      </w:r>
    </w:p>
    <w:p>
      <w:pPr>
        <w:pStyle w:val="ListNumber"/>
      </w:pPr>
      <w:r>
        <w:t>Increase delivery revenue profitably.</w:t>
      </w:r>
    </w:p>
    <w:p>
      <w:pPr>
        <w:pStyle w:val="ListNumber"/>
      </w:pPr>
      <w:r>
        <w:t>Reduce fixed costs.</w:t>
      </w:r>
    </w:p>
    <w:p>
      <w:pPr>
        <w:pStyle w:val="ListNumber"/>
      </w:pPr>
      <w:r>
        <w:t>Protect the quality of food on delivery.</w:t>
      </w:r>
    </w:p>
    <w:p>
      <w:pPr>
        <w:pStyle w:val="Heading1"/>
      </w:pPr>
      <w:r>
        <w:t>5. Approach</w:t>
      </w:r>
    </w:p>
    <w:p>
      <w:pPr>
        <w:jc w:val="both"/>
      </w:pPr>
      <w:r>
        <w:t>The group tested delivery-first operations before closing any outlet.</w:t>
      </w:r>
    </w:p>
    <w:p>
      <w:pPr>
        <w:pStyle w:val="Heading2"/>
      </w:pPr>
      <w:r>
        <w:t>Phase 1: Analyse</w:t>
      </w:r>
    </w:p>
    <w:p>
      <w:pPr>
        <w:jc w:val="both"/>
      </w:pPr>
      <w:r>
        <w:t>Studied order data, delivery times and margins by dish.</w:t>
      </w:r>
    </w:p>
    <w:p>
      <w:pPr>
        <w:pStyle w:val="ListBullet"/>
      </w:pPr>
      <w:r>
        <w:t>Menu engineering</w:t>
      </w:r>
    </w:p>
    <w:p>
      <w:pPr>
        <w:pStyle w:val="ListBullet"/>
      </w:pPr>
      <w:r>
        <w:t>Margin analysis</w:t>
      </w:r>
    </w:p>
    <w:p>
      <w:pPr>
        <w:pStyle w:val="ListBullet"/>
      </w:pPr>
      <w:r>
        <w:t>Delivery heat-map</w:t>
      </w:r>
    </w:p>
    <w:p>
      <w:pPr>
        <w:pStyle w:val="Heading2"/>
      </w:pPr>
      <w:r>
        <w:t>Phase 2: Build cloud kitchens</w:t>
      </w:r>
    </w:p>
    <w:p>
      <w:pPr>
        <w:jc w:val="both"/>
      </w:pPr>
      <w:r>
        <w:t>Opened two delivery-only kitchens in lower-rent areas close to demand clusters.</w:t>
      </w:r>
    </w:p>
    <w:p>
      <w:pPr>
        <w:pStyle w:val="ListBullet"/>
      </w:pPr>
      <w:r>
        <w:t>Site selection</w:t>
      </w:r>
    </w:p>
    <w:p>
      <w:pPr>
        <w:pStyle w:val="ListBullet"/>
      </w:pPr>
      <w:r>
        <w:t>Kitchen layout for packaging</w:t>
      </w:r>
    </w:p>
    <w:p>
      <w:pPr>
        <w:pStyle w:val="ListBullet"/>
      </w:pPr>
      <w:r>
        <w:t>Staff training</w:t>
      </w:r>
    </w:p>
    <w:p>
      <w:pPr>
        <w:pStyle w:val="Heading2"/>
      </w:pPr>
      <w:r>
        <w:t>Phase 3: Brand portfolio</w:t>
      </w:r>
    </w:p>
    <w:p>
      <w:pPr>
        <w:jc w:val="both"/>
      </w:pPr>
      <w:r>
        <w:t>Launched three virtual brands from the same kitchens: biryani, rolls and healthy bowls.</w:t>
      </w:r>
    </w:p>
    <w:p>
      <w:pPr>
        <w:pStyle w:val="ListBullet"/>
      </w:pPr>
      <w:r>
        <w:t>Virtual brands</w:t>
      </w:r>
    </w:p>
    <w:p>
      <w:pPr>
        <w:pStyle w:val="ListBullet"/>
      </w:pPr>
      <w:r>
        <w:t>Packaging redesign</w:t>
      </w:r>
    </w:p>
    <w:p>
      <w:pPr>
        <w:pStyle w:val="ListBullet"/>
      </w:pPr>
      <w:r>
        <w:t>Own ordering channel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3223"/>
        <w:gridCol w:w="3868"/>
      </w:tblGrid>
      <w:tr>
        <w:trPr>
          <w:tblHeader/>
        </w:trPr>
        <w:tc>
          <w:tcPr>
            <w:tcW w:type="dxa" w:w="1934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Period</w:t>
            </w:r>
          </w:p>
        </w:tc>
        <w:tc>
          <w:tcPr>
            <w:tcW w:type="dxa" w:w="3223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3868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1–2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Data analysis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Menu and margins</w:t>
            </w:r>
          </w:p>
        </w:tc>
      </w:tr>
      <w:tr>
        <w:tc>
          <w:tcPr>
            <w:tcW w:type="dxa" w:w="1934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20"/>
              </w:rPr>
              <w:t>Month 3–5</w:t>
            </w:r>
          </w:p>
        </w:tc>
        <w:tc>
          <w:tcPr>
            <w:tcW w:type="dxa" w:w="322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20"/>
              </w:rPr>
              <w:t>First cloud kitchen</w:t>
            </w:r>
          </w:p>
        </w:tc>
        <w:tc>
          <w:tcPr>
            <w:tcW w:type="dxa" w:w="3868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20"/>
              </w:rPr>
              <w:t>Pilot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6–8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Second kitchen and brands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Scale-up</w:t>
            </w:r>
          </w:p>
        </w:tc>
      </w:tr>
      <w:tr>
        <w:tc>
          <w:tcPr>
            <w:tcW w:type="dxa" w:w="1934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20"/>
              </w:rPr>
              <w:t>Month 9–10</w:t>
            </w:r>
          </w:p>
        </w:tc>
        <w:tc>
          <w:tcPr>
            <w:tcW w:type="dxa" w:w="3223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20"/>
              </w:rPr>
              <w:t>Close one dine-in outlet</w:t>
            </w:r>
          </w:p>
        </w:tc>
        <w:tc>
          <w:tcPr>
            <w:tcW w:type="dxa" w:w="3868"/>
            <w:vAlign w:val="center"/>
            <w:shd w:val="clear" w:color="auto" w:fill="F8EEEA"/>
          </w:tcPr>
          <w:p>
            <w:pPr>
              <w:spacing w:after="0"/>
            </w:pPr>
            <w:r/>
            <w:r>
              <w:rPr>
                <w:sz w:val="20"/>
              </w:rPr>
              <w:t>Consolidation</w:t>
            </w:r>
          </w:p>
        </w:tc>
      </w:tr>
    </w:tbl>
    <w:p>
      <w:pPr>
        <w:spacing w:after="80"/>
      </w:pPr>
    </w:p>
    <w:p>
      <w:pPr>
        <w:pStyle w:val="Heading1"/>
      </w:pPr>
      <w:r>
        <w:t>6. Results</w:t>
      </w:r>
    </w:p>
    <w:p>
      <w:pPr>
        <w:jc w:val="both"/>
      </w:pPr>
      <w:r>
        <w:t>The group became less dependent on expensive dine-in space and improved delivery performance.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3009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009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Delivery share of revenue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22%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48%</w:t>
            </w:r>
          </w:p>
        </w:tc>
      </w:tr>
      <w:tr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Average delivery time (min)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46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31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Rent as share of revenue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16%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11%</w:t>
            </w:r>
          </w:p>
        </w:tc>
      </w:tr>
      <w:tr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Food rating on delivery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3.9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4.3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F8EEEA"/>
            <w:vAlign w:val="center"/>
          </w:tcPr>
          <w:p>
            <w:pPr>
              <w:jc w:val="center"/>
            </w:pPr>
            <w:r>
              <w:rPr>
                <w:color w:val="767676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7. Lessons Learned</w:t>
      </w:r>
    </w:p>
    <w:p>
      <w:pPr>
        <w:spacing w:after="80"/>
      </w:pPr>
      <w:r>
        <w:rPr>
          <w:b/>
          <w:color w:val="B4532A"/>
        </w:rPr>
        <w:t xml:space="preserve">Design for delivery. </w:t>
      </w:r>
      <w:r>
        <w:t>Packaging and menu changes mattered as much as location.</w:t>
      </w:r>
    </w:p>
    <w:p>
      <w:pPr>
        <w:spacing w:after="80"/>
      </w:pPr>
      <w:r>
        <w:rPr>
          <w:b/>
          <w:color w:val="B4532A"/>
        </w:rPr>
        <w:t xml:space="preserve">Use data to choose sites. </w:t>
      </w:r>
      <w:r>
        <w:t>Demand clusters guided kitchen locations.</w:t>
      </w:r>
    </w:p>
    <w:p>
      <w:pPr>
        <w:spacing w:after="80"/>
      </w:pPr>
      <w:r>
        <w:rPr>
          <w:b/>
          <w:color w:val="B4532A"/>
        </w:rPr>
        <w:t xml:space="preserve">Brands multiply reach. </w:t>
      </w:r>
      <w:r>
        <w:t>Virtual brands used the same kitchen capacity.</w:t>
      </w:r>
    </w:p>
    <w:p>
      <w:pPr>
        <w:pStyle w:val="Heading1"/>
      </w:pPr>
      <w:r>
        <w:t>8. Analysis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8EEEA"/>
          </w:tcPr>
          <w:p>
            <w:r>
              <w:rPr>
                <w:b/>
                <w:color w:val="B4532A"/>
              </w:rPr>
              <w:t>What worked</w:t>
            </w:r>
          </w:p>
          <w:p>
            <w:pPr>
              <w:spacing w:after="40"/>
            </w:pPr>
            <w:r>
              <w:t>• Menu engineering</w:t>
            </w:r>
          </w:p>
          <w:p>
            <w:pPr>
              <w:spacing w:after="40"/>
            </w:pPr>
            <w:r>
              <w:t>• Kitchen location</w:t>
            </w:r>
          </w:p>
        </w:tc>
        <w:tc>
          <w:tcPr>
            <w:tcW w:type="dxa" w:w="4513"/>
            <w:shd w:val="clear" w:color="auto" w:fill="EED9D0"/>
          </w:tcPr>
          <w:p>
            <w:r>
              <w:rPr>
                <w:b/>
                <w:color w:val="B4532A"/>
              </w:rPr>
              <w:t>What was difficult</w:t>
            </w:r>
          </w:p>
          <w:p>
            <w:pPr>
              <w:spacing w:after="40"/>
            </w:pPr>
            <w:r>
              <w:t>• Platform commissions</w:t>
            </w:r>
          </w:p>
          <w:p>
            <w:pPr>
              <w:spacing w:after="40"/>
            </w:pPr>
            <w:r>
              <w:t>• Brand dilution risk</w:t>
            </w:r>
          </w:p>
        </w:tc>
      </w:tr>
      <w:tr>
        <w:tc>
          <w:tcPr>
            <w:tcW w:type="dxa" w:w="4513"/>
            <w:shd w:val="clear" w:color="auto" w:fill="EED9D0"/>
          </w:tcPr>
          <w:p>
            <w:r>
              <w:rPr>
                <w:b/>
                <w:color w:val="B4532A"/>
              </w:rPr>
              <w:t>Opportunities</w:t>
            </w:r>
          </w:p>
          <w:p>
            <w:pPr>
              <w:spacing w:after="40"/>
            </w:pPr>
            <w:r>
              <w:t>• Own website orders</w:t>
            </w:r>
          </w:p>
          <w:p>
            <w:pPr>
              <w:spacing w:after="40"/>
            </w:pPr>
            <w:r>
              <w:t>• Corporate lunch boxes</w:t>
            </w:r>
          </w:p>
        </w:tc>
        <w:tc>
          <w:tcPr>
            <w:tcW w:type="dxa" w:w="4513"/>
            <w:shd w:val="clear" w:color="auto" w:fill="F8EEEA"/>
          </w:tcPr>
          <w:p>
            <w:r>
              <w:rPr>
                <w:b/>
                <w:color w:val="B4532A"/>
              </w:rPr>
              <w:t>Risks to sustain</w:t>
            </w:r>
          </w:p>
          <w:p>
            <w:pPr>
              <w:spacing w:after="40"/>
            </w:pPr>
            <w:r>
              <w:t>• Platform dependence</w:t>
            </w:r>
          </w:p>
          <w:p>
            <w:pPr>
              <w:spacing w:after="40"/>
            </w:pPr>
            <w:r>
              <w:t>• Competition from new kitchens</w:t>
            </w:r>
          </w:p>
        </w:tc>
      </w:tr>
    </w:tbl>
    <w:p/>
    <w:p>
      <w:pPr>
        <w:pStyle w:val="Heading1"/>
      </w:pPr>
      <w:r>
        <w:t>9. Discussion Questions</w:t>
      </w:r>
    </w:p>
    <w:p>
      <w:r>
        <w:rPr>
          <w:i/>
          <w:color w:val="767676"/>
        </w:rPr>
        <w:t>Use these questions for classroom discussion or self-study.</w:t>
      </w:r>
    </w:p>
    <w:p>
      <w:pPr>
        <w:pStyle w:val="ListNumber"/>
      </w:pPr>
      <w:r>
        <w:t>What factors made the pivot necessary?</w:t>
      </w:r>
    </w:p>
    <w:p>
      <w:pPr>
        <w:pStyle w:val="ListNumber"/>
      </w:pPr>
      <w:r>
        <w:t>Should the group close all dine-in outlets? Why or why not?</w:t>
      </w:r>
    </w:p>
    <w:p>
      <w:pPr>
        <w:pStyle w:val="ListNumber"/>
      </w:pPr>
      <w:r>
        <w:t>How can it reduce dependence on delivery platforms?</w:t>
      </w:r>
    </w:p>
    <w:p>
      <w:pPr>
        <w:pStyle w:val="ListNumber"/>
      </w:pPr>
      <w:r>
        <w:t>What risks do virtual brands create?</w:t>
      </w:r>
    </w:p>
    <w:p>
      <w:pPr>
        <w:pStyle w:val="Heading1"/>
      </w:pPr>
      <w:r>
        <w:t>10. Teaching Note</w:t>
      </w:r>
    </w:p>
    <w:p>
      <w:pPr>
        <w:jc w:val="both"/>
      </w:pPr>
      <w:r>
        <w:t>The case supports discussion of business model change, unit economics and platform strategy.</w:t>
      </w:r>
    </w:p>
    <w:p>
      <w:pPr>
        <w:pStyle w:val="Heading1"/>
      </w:pPr>
      <w:r>
        <w:t>11. 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Item</w:t>
            </w:r>
          </w:p>
        </w:tc>
        <w:tc>
          <w:tcPr>
            <w:tcW w:type="dxa" w:w="3009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Dine-in kitchen</w:t>
            </w:r>
          </w:p>
        </w:tc>
        <w:tc>
          <w:tcPr>
            <w:tcW w:type="dxa" w:w="3009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Cloud kitchen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Average order value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420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400</w:t>
            </w:r>
          </w:p>
        </w:tc>
      </w:tr>
      <w:tr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Food cost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150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140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Packaging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25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30</w:t>
            </w:r>
          </w:p>
        </w:tc>
      </w:tr>
      <w:tr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Commission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105</w:t>
            </w:r>
          </w:p>
        </w:tc>
        <w:tc>
          <w:tcPr>
            <w:tcW w:type="dxa" w:w="3009"/>
            <w:vAlign w:val="center"/>
            <w:shd w:val="clear" w:color="auto" w:fill="F8EEE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100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Contribution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140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130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Unit economics per order (₹) (sample data)</w:t>
      </w:r>
    </w:p>
    <w:p>
      <w:pPr>
        <w:pStyle w:val="Heading1"/>
      </w:pPr>
      <w:r>
        <w:t>12. Conclusion</w:t>
      </w:r>
    </w:p>
    <w:p>
      <w:pPr>
        <w:jc w:val="both"/>
      </w:pPr>
      <w:r>
        <w:t>The pivot shows how traditional restaurants can adapt by redesigning operations around new customer behaviour.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Case Study · Cloud kitchen pivot</w:t>
    </w:r>
    <w:r>
      <w:rPr>
        <w:color w:val="767676"/>
        <w:sz w:val="17"/>
      </w:rPr>
      <w:tab/>
      <w:t>Strategy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EED9D0"/>
      <w:pBdr>
        <w:left w:val="single" w:sz="36" w:space="8" w:color="B4532A"/>
      </w:pBdr>
    </w:pPr>
    <w:rPr>
      <w:rFonts w:ascii="Arial" w:hAnsi="Arial" w:cs="Arial" w:eastAsia="Arial"/>
      <w:b/>
      <w:bCs/>
      <w:i w:val="0"/>
      <w:color w:val="222222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22222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