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16" w:lineRule="auto"/>
      </w:pPr>
      <w:r>
        <w:rPr>
          <w:rFonts w:ascii="Calibri" w:hAnsi="Calibri" w:cs="Calibri" w:eastAsia="Calibri"/>
          <w:b/>
          <w:i w:val="0"/>
          <w:color w:val="CAE1DF"/>
          <w:sz w:val="192"/>
        </w:rPr>
        <w:t>2026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Borders>
          <w:top w:val="single" w:sz="24" w:space="0" w:color="172033"/>
          <w:bottom w:val="single" w:sz="6" w:space="0" w:color="172033"/>
        </w:tblBorders>
        <w:tblCellMar>
          <w:top w:w="300" w:type="dxa"/>
          <w:left w:w="0" w:type="dxa"/>
          <w:bottom w:w="300" w:type="dxa"/>
          <w:right w:w="0" w:type="dxa"/>
        </w:tblCellMar>
      </w:tblPr>
      <w:tblGrid>
        <w:gridCol w:w="9412"/>
      </w:tblGrid>
      <w:tr>
        <w:tc>
          <w:tcPr>
            <w:tcW w:type="dxa" w:w="9411"/>
          </w:tcPr>
          <w:p>
            <w:pPr>
              <w:spacing w:after="320"/>
            </w:pPr>
            <w:r>
              <w:rPr>
                <w:b/>
                <w:i w:val="0"/>
                <w:caps/>
                <w:color w:val="0F766E"/>
                <w:sz w:val="20"/>
                <w:spacing w:val="60"/>
              </w:rPr>
              <w:t>Case Study · Fintech and Development</w:t>
            </w:r>
          </w:p>
          <w:p>
            <w:pPr>
              <w:pStyle w:val="Title"/>
            </w:pPr>
            <w:r>
              <w:rPr>
                <w:sz w:val="104"/>
              </w:rPr>
              <w:t>Taking Microfinance Collections Digital in Rural Maharashtra</w:t>
            </w:r>
          </w:p>
          <w:p>
            <w:r>
              <w:rPr>
                <w:b w:val="0"/>
                <w:i/>
                <w:color w:val="6F7581"/>
                <w:sz w:val="30"/>
              </w:rPr>
              <w:t>Designing a field app for loan officers with poor connectivity</w:t>
            </w:r>
          </w:p>
        </w:tc>
      </w:tr>
    </w:tbl>
    <w:p>
      <w:pPr>
        <w:spacing w:after="4000"/>
      </w:pP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Borders>
          <w:top w:val="single" w:sz="6" w:space="0" w:color="CCCED2"/>
        </w:tblBorders>
        <w:tblCellMar>
          <w:top w:w="120" w:type="dxa"/>
          <w:left w:w="0" w:type="dxa"/>
          <w:bottom w:w="40" w:type="dxa"/>
          <w:right w:w="120" w:type="dxa"/>
        </w:tblCellMar>
      </w:tblPr>
      <w:tblGrid>
        <w:gridCol w:w="3137"/>
        <w:gridCol w:w="3137"/>
        <w:gridCol w:w="3137"/>
      </w:tblGrid>
      <w:tr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b/>
                <w:color w:val="6F7581"/>
                <w:sz w:val="16"/>
              </w:rPr>
              <w:t>ORGANISATION</w:t>
            </w:r>
          </w:p>
        </w:tc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b/>
                <w:color w:val="6F7581"/>
                <w:sz w:val="16"/>
              </w:rPr>
              <w:t>SECTOR</w:t>
            </w:r>
          </w:p>
        </w:tc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b/>
                <w:color w:val="6F7581"/>
                <w:sz w:val="16"/>
              </w:rPr>
              <w:t>PREPARED BY</w:t>
            </w:r>
          </w:p>
        </w:tc>
      </w:tr>
      <w:tr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color w:val="172033"/>
                <w:sz w:val="21"/>
              </w:rPr>
              <w:t>Gramin Pragati Finance (fictional)</w:t>
            </w:r>
          </w:p>
        </w:tc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color w:val="172033"/>
                <w:sz w:val="21"/>
              </w:rPr>
              <w:t>Microfinance</w:t>
            </w:r>
          </w:p>
        </w:tc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color w:val="172033"/>
                <w:sz w:val="21"/>
              </w:rPr>
              <w:t>Case writer: Your Name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At a Glance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4" w:space="0" w:color="CCCED2"/>
          <w:left w:val="single" w:sz="4" w:space="0" w:color="CCCED2"/>
          <w:bottom w:val="single" w:sz="4" w:space="0" w:color="CCCED2"/>
          <w:right w:val="single" w:sz="4" w:space="0" w:color="CCCED2"/>
          <w:insideH w:val="single" w:sz="4" w:space="0" w:color="CCCED2"/>
          <w:insideV w:val="single" w:sz="4" w:space="0" w:color="CCCED2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381"/>
        <w:gridCol w:w="7030"/>
      </w:tblGrid>
      <w:tr>
        <w:tc>
          <w:tcPr>
            <w:tcW w:type="dxa" w:w="2381"/>
            <w:shd w:val="clear" w:color="auto" w:fill="E7F1F0"/>
          </w:tcPr>
          <w:p>
            <w:pPr>
              <w:spacing w:after="0"/>
            </w:pPr>
            <w:r>
              <w:rPr>
                <w:b/>
              </w:rPr>
              <w:t>Organisation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Gramin Pragati Finance (fictional)</w:t>
            </w:r>
          </w:p>
        </w:tc>
      </w:tr>
      <w:tr>
        <w:tc>
          <w:tcPr>
            <w:tcW w:type="dxa" w:w="2381"/>
            <w:shd w:val="clear" w:color="auto" w:fill="E7F1F0"/>
          </w:tcPr>
          <w:p>
            <w:pPr>
              <w:spacing w:after="0"/>
            </w:pPr>
            <w:r>
              <w:rPr>
                <w:b/>
              </w:rPr>
              <w:t>Sector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Microfinance</w:t>
            </w:r>
          </w:p>
        </w:tc>
      </w:tr>
      <w:tr>
        <w:tc>
          <w:tcPr>
            <w:tcW w:type="dxa" w:w="2381"/>
            <w:shd w:val="clear" w:color="auto" w:fill="E7F1F0"/>
          </w:tcPr>
          <w:p>
            <w:pPr>
              <w:spacing w:after="0"/>
            </w:pPr>
            <w:r>
              <w:rPr>
                <w:b/>
              </w:rPr>
              <w:t>Location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Rural Maharashtra</w:t>
            </w:r>
          </w:p>
        </w:tc>
      </w:tr>
      <w:tr>
        <w:tc>
          <w:tcPr>
            <w:tcW w:type="dxa" w:w="2381"/>
            <w:shd w:val="clear" w:color="auto" w:fill="E7F1F0"/>
          </w:tcPr>
          <w:p>
            <w:pPr>
              <w:spacing w:after="0"/>
            </w:pPr>
            <w:r>
              <w:rPr>
                <w:b/>
              </w:rPr>
              <w:t>Challenge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Cash collections, manual records and reconciliation delays</w:t>
            </w:r>
          </w:p>
        </w:tc>
      </w:tr>
      <w:tr>
        <w:tc>
          <w:tcPr>
            <w:tcW w:type="dxa" w:w="2381"/>
            <w:shd w:val="clear" w:color="auto" w:fill="E7F1F0"/>
          </w:tcPr>
          <w:p>
            <w:pPr>
              <w:spacing w:after="0"/>
            </w:pPr>
            <w:r>
              <w:rPr>
                <w:b/>
              </w:rPr>
              <w:t>Solution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Offline-first field app, digital receipts and UPI repayments</w:t>
            </w:r>
          </w:p>
        </w:tc>
      </w:tr>
      <w:tr>
        <w:tc>
          <w:tcPr>
            <w:tcW w:type="dxa" w:w="2381"/>
            <w:shd w:val="clear" w:color="auto" w:fill="E7F1F0"/>
          </w:tcPr>
          <w:p>
            <w:pPr>
              <w:spacing w:after="0"/>
            </w:pPr>
            <w:r>
              <w:rPr>
                <w:b/>
              </w:rPr>
              <w:t>Timeframe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12 months</w:t>
            </w:r>
          </w:p>
        </w:tc>
      </w:tr>
    </w:tbl>
    <w:p>
      <w:pPr>
        <w:spacing w:after="80"/>
      </w:pP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CellMar>
          <w:top w:w="140" w:type="dxa"/>
          <w:left w:w="140" w:type="dxa"/>
          <w:bottom w:w="140" w:type="dxa"/>
          <w:right w:w="140" w:type="dxa"/>
        </w:tblCellMar>
      </w:tblPr>
      <w:tblGrid>
        <w:gridCol w:w="3137"/>
        <w:gridCol w:w="3137"/>
        <w:gridCol w:w="3137"/>
      </w:tblGrid>
      <w:tr>
        <w:tc>
          <w:tcPr>
            <w:tcW w:type="dxa" w:w="3137"/>
            <w:shd w:val="clear" w:color="auto" w:fill="CAE1DF"/>
          </w:tcPr>
          <w:p>
            <w:pPr>
              <w:spacing w:after="40"/>
            </w:pPr>
            <w:r>
              <w:rPr>
                <w:rFonts w:ascii="Calibri" w:hAnsi="Calibri" w:cs="Calibri" w:eastAsia="Calibri"/>
                <w:b/>
                <w:color w:val="0F766E"/>
                <w:sz w:val="40"/>
              </w:rPr>
              <w:t>−70%</w:t>
            </w:r>
          </w:p>
          <w:p>
            <w:pPr>
              <w:spacing w:after="0"/>
            </w:pPr>
            <w:r>
              <w:rPr>
                <w:sz w:val="18"/>
              </w:rPr>
              <w:t>Reconciliation time (sample)</w:t>
            </w:r>
          </w:p>
        </w:tc>
        <w:tc>
          <w:tcPr>
            <w:tcW w:type="dxa" w:w="3137"/>
            <w:shd w:val="clear" w:color="auto" w:fill="CAE1DF"/>
          </w:tcPr>
          <w:p>
            <w:pPr>
              <w:spacing w:after="40"/>
            </w:pPr>
            <w:r>
              <w:rPr>
                <w:rFonts w:ascii="Calibri" w:hAnsi="Calibri" w:cs="Calibri" w:eastAsia="Calibri"/>
                <w:b/>
                <w:color w:val="0F766E"/>
                <w:sz w:val="40"/>
              </w:rPr>
              <w:t>46%</w:t>
            </w:r>
          </w:p>
          <w:p>
            <w:pPr>
              <w:spacing w:after="0"/>
            </w:pPr>
            <w:r>
              <w:rPr>
                <w:sz w:val="18"/>
              </w:rPr>
              <w:t>Repayments made digitally</w:t>
            </w:r>
          </w:p>
        </w:tc>
        <w:tc>
          <w:tcPr>
            <w:tcW w:type="dxa" w:w="3137"/>
            <w:shd w:val="clear" w:color="auto" w:fill="CAE1DF"/>
          </w:tcPr>
          <w:p>
            <w:pPr>
              <w:spacing w:after="40"/>
            </w:pPr>
            <w:r>
              <w:rPr>
                <w:rFonts w:ascii="Calibri" w:hAnsi="Calibri" w:cs="Calibri" w:eastAsia="Calibri"/>
                <w:b/>
                <w:color w:val="0F766E"/>
                <w:sz w:val="40"/>
              </w:rPr>
              <w:t>12 mo</w:t>
            </w:r>
          </w:p>
          <w:p>
            <w:pPr>
              <w:spacing w:after="0"/>
            </w:pPr>
            <w:r>
              <w:rPr>
                <w:sz w:val="18"/>
              </w:rPr>
              <w:t>Programme</w:t>
            </w:r>
          </w:p>
        </w:tc>
      </w:tr>
    </w:tbl>
    <w:p>
      <w:pPr>
        <w:spacing w:after="120"/>
      </w:pPr>
    </w:p>
    <w:p>
      <w:pPr>
        <w:pStyle w:val="Caption"/>
      </w:pPr>
      <w:r>
        <w:t>Organisation and outcomes are illustrative; figures are sample data for teaching and templating purposes.</w:t>
      </w:r>
    </w:p>
    <w:p>
      <w:pPr>
        <w:pStyle w:val="Heading1"/>
      </w:pPr>
      <w:r>
        <w:t>Background</w:t>
      </w:r>
    </w:p>
    <w:p>
      <w:pPr>
        <w:jc w:val="both"/>
      </w:pPr>
      <w:r>
        <w:t>Gramin Pragati Finance provides small group loans to women entrepreneurs in villages. Loan officers collected repayments in cash at weekly group meetings and recorded them in paper ledgers.</w:t>
      </w:r>
    </w:p>
    <w:p>
      <w:pPr>
        <w:jc w:val="both"/>
      </w:pPr>
      <w:r>
        <w:t>Records were entered into the head-office system days later, causing errors and delays.</w:t>
      </w:r>
    </w:p>
    <w:p>
      <w:pPr>
        <w:pStyle w:val="Heading1"/>
      </w:pPr>
      <w:r>
        <w:t>The Challenge</w:t>
      </w:r>
    </w:p>
    <w:p>
      <w:pPr>
        <w:jc w:val="both"/>
      </w:pPr>
      <w:r>
        <w:t>The company wanted to digitise collections, but many villages had weak mobile networks and borrowers had varying comfort with technology.</w:t>
      </w:r>
    </w:p>
    <w:p>
      <w:pPr>
        <w:pStyle w:val="ListBullet"/>
      </w:pPr>
      <w:r>
        <w:t>Cash handling risks for loan officers</w:t>
      </w:r>
    </w:p>
    <w:p>
      <w:pPr>
        <w:pStyle w:val="ListBullet"/>
      </w:pPr>
      <w:r>
        <w:t>Delayed and error-prone data entry</w:t>
      </w:r>
    </w:p>
    <w:p>
      <w:pPr>
        <w:pStyle w:val="ListBullet"/>
      </w:pPr>
      <w:r>
        <w:t>No real-time view of collections</w:t>
      </w:r>
    </w:p>
    <w:p>
      <w:pPr>
        <w:pStyle w:val="ListBullet"/>
      </w:pPr>
      <w:r>
        <w:t>Borrowers had no instant receipts</w:t>
      </w:r>
    </w:p>
    <w:p>
      <w:pPr>
        <w:pStyle w:val="Quote"/>
      </w:pPr>
      <w:r>
        <w:t>Our officers were carrying cash and paperwork for hours every day.</w:t>
      </w:r>
    </w:p>
    <w:p>
      <w:pPr>
        <w:spacing w:after="160"/>
        <w:jc w:val="right"/>
      </w:pPr>
      <w:r>
        <w:rPr>
          <w:i/>
          <w:color w:val="6F7581"/>
        </w:rPr>
        <w:t>— Chief Operating Officer (fictional)</w:t>
      </w:r>
    </w:p>
    <w:p>
      <w:pPr>
        <w:pStyle w:val="Heading1"/>
      </w:pPr>
      <w:r>
        <w:t>Objectives</w:t>
      </w:r>
    </w:p>
    <w:p>
      <w:pPr>
        <w:pStyle w:val="ListNumber"/>
      </w:pPr>
      <w:r>
        <w:t>Give borrowers instant digital receipts.</w:t>
      </w:r>
    </w:p>
    <w:p>
      <w:pPr>
        <w:pStyle w:val="ListNumber"/>
      </w:pPr>
      <w:r>
        <w:t>Reduce cash handling.</w:t>
      </w:r>
    </w:p>
    <w:p>
      <w:pPr>
        <w:pStyle w:val="ListNumber"/>
      </w:pPr>
      <w:r>
        <w:t>Get same-day visibility of collections.</w:t>
      </w:r>
    </w:p>
    <w:p>
      <w:pPr>
        <w:pStyle w:val="Heading1"/>
      </w:pPr>
      <w:r>
        <w:t>Approach</w:t>
      </w:r>
    </w:p>
    <w:p>
      <w:pPr>
        <w:jc w:val="both"/>
      </w:pPr>
      <w:r>
        <w:t>The team co-designed the solution with loan officers and borrower groups.</w:t>
      </w:r>
    </w:p>
    <w:p>
      <w:pPr>
        <w:pStyle w:val="Heading2"/>
      </w:pPr>
      <w:r>
        <w:t>Phase 1: Field research</w:t>
      </w:r>
    </w:p>
    <w:p>
      <w:pPr>
        <w:jc w:val="both"/>
      </w:pPr>
      <w:r>
        <w:t>Observed group meetings and interviewed officers and borrowers about their needs.</w:t>
      </w:r>
    </w:p>
    <w:p>
      <w:pPr>
        <w:pStyle w:val="ListBullet"/>
      </w:pPr>
      <w:r>
        <w:t>Ride-alongs</w:t>
      </w:r>
    </w:p>
    <w:p>
      <w:pPr>
        <w:pStyle w:val="ListBullet"/>
      </w:pPr>
      <w:r>
        <w:t>Group discussions</w:t>
      </w:r>
    </w:p>
    <w:p>
      <w:pPr>
        <w:pStyle w:val="ListBullet"/>
      </w:pPr>
      <w:r>
        <w:t>Connectivity mapping</w:t>
      </w:r>
    </w:p>
    <w:p>
      <w:pPr>
        <w:pStyle w:val="Heading2"/>
      </w:pPr>
      <w:r>
        <w:t>Phase 2: Offline-first app</w:t>
      </w:r>
    </w:p>
    <w:p>
      <w:pPr>
        <w:jc w:val="both"/>
      </w:pPr>
      <w:r>
        <w:t>Built an app that records collections offline and syncs when a network is available, with SMS receipts.</w:t>
      </w:r>
    </w:p>
    <w:p>
      <w:pPr>
        <w:pStyle w:val="ListBullet"/>
      </w:pPr>
      <w:r>
        <w:t>Offline data storage</w:t>
      </w:r>
    </w:p>
    <w:p>
      <w:pPr>
        <w:pStyle w:val="ListBullet"/>
      </w:pPr>
      <w:r>
        <w:t>SMS receipts</w:t>
      </w:r>
    </w:p>
    <w:p>
      <w:pPr>
        <w:pStyle w:val="ListBullet"/>
      </w:pPr>
      <w:r>
        <w:t>Simple local-language interface</w:t>
      </w:r>
    </w:p>
    <w:p>
      <w:pPr>
        <w:pStyle w:val="Heading2"/>
      </w:pPr>
      <w:r>
        <w:t>Phase 3: Digital repayments</w:t>
      </w:r>
    </w:p>
    <w:p>
      <w:pPr>
        <w:jc w:val="both"/>
      </w:pPr>
      <w:r>
        <w:t>Introduced QR-based repayments for borrowers with smartphones while keeping cash as an option.</w:t>
      </w:r>
    </w:p>
    <w:p>
      <w:pPr>
        <w:pStyle w:val="ListBullet"/>
      </w:pPr>
      <w:r>
        <w:t>QR repayments</w:t>
      </w:r>
    </w:p>
    <w:p>
      <w:pPr>
        <w:pStyle w:val="ListBullet"/>
      </w:pPr>
      <w:r>
        <w:t>Awareness sessions</w:t>
      </w:r>
    </w:p>
    <w:p>
      <w:pPr>
        <w:pStyle w:val="ListBullet"/>
      </w:pPr>
      <w:r>
        <w:t>Officer incentives</w:t>
      </w:r>
    </w:p>
    <w:p>
      <w:pPr>
        <w:pStyle w:val="Heading2"/>
      </w:pPr>
      <w:r>
        <w:t>Implementation Timeline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016"/>
        <w:gridCol w:w="3361"/>
        <w:gridCol w:w="4033"/>
      </w:tblGrid>
      <w:tr>
        <w:trPr>
          <w:tblHeader/>
        </w:trPr>
        <w:tc>
          <w:tcPr>
            <w:tcW w:type="dxa" w:w="2017"/>
            <w:vAlign w:val="center"/>
            <w:shd w:val="clear" w:color="auto" w:fill="0F766E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Period</w:t>
            </w:r>
          </w:p>
        </w:tc>
        <w:tc>
          <w:tcPr>
            <w:tcW w:type="dxa" w:w="3361"/>
            <w:vAlign w:val="center"/>
            <w:shd w:val="clear" w:color="auto" w:fill="0F766E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Milestone</w:t>
            </w:r>
          </w:p>
        </w:tc>
        <w:tc>
          <w:tcPr>
            <w:tcW w:type="dxa" w:w="4033"/>
            <w:vAlign w:val="center"/>
            <w:shd w:val="clear" w:color="auto" w:fill="0F766E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Notes</w:t>
            </w:r>
          </w:p>
        </w:tc>
      </w:tr>
      <w:tr>
        <w:tc>
          <w:tcPr>
            <w:tcW w:type="dxa" w:w="201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Month 1–2</w:t>
            </w:r>
          </w:p>
        </w:tc>
        <w:tc>
          <w:tcPr>
            <w:tcW w:type="dxa" w:w="336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Field research</w:t>
            </w:r>
          </w:p>
        </w:tc>
        <w:tc>
          <w:tcPr>
            <w:tcW w:type="dxa" w:w="403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Four branches</w:t>
            </w:r>
          </w:p>
        </w:tc>
      </w:tr>
      <w:tr>
        <w:tc>
          <w:tcPr>
            <w:tcW w:type="dxa" w:w="2017"/>
            <w:vAlign w:val="center"/>
            <w:shd w:val="clear" w:color="auto" w:fill="E7F1F0"/>
          </w:tcPr>
          <w:p>
            <w:pPr>
              <w:spacing w:after="0"/>
            </w:pPr>
            <w:r/>
            <w:r>
              <w:rPr>
                <w:sz w:val="20"/>
              </w:rPr>
              <w:t>Month 3–6</w:t>
            </w:r>
          </w:p>
        </w:tc>
        <w:tc>
          <w:tcPr>
            <w:tcW w:type="dxa" w:w="3361"/>
            <w:vAlign w:val="center"/>
            <w:shd w:val="clear" w:color="auto" w:fill="E7F1F0"/>
          </w:tcPr>
          <w:p>
            <w:pPr>
              <w:spacing w:after="0"/>
            </w:pPr>
            <w:r/>
            <w:r>
              <w:rPr>
                <w:sz w:val="20"/>
              </w:rPr>
              <w:t>App development and pilot</w:t>
            </w:r>
          </w:p>
        </w:tc>
        <w:tc>
          <w:tcPr>
            <w:tcW w:type="dxa" w:w="4033"/>
            <w:vAlign w:val="center"/>
            <w:shd w:val="clear" w:color="auto" w:fill="E7F1F0"/>
          </w:tcPr>
          <w:p>
            <w:pPr>
              <w:spacing w:after="0"/>
            </w:pPr>
            <w:r/>
            <w:r>
              <w:rPr>
                <w:sz w:val="20"/>
              </w:rPr>
              <w:t>Two branches</w:t>
            </w:r>
          </w:p>
        </w:tc>
      </w:tr>
      <w:tr>
        <w:tc>
          <w:tcPr>
            <w:tcW w:type="dxa" w:w="201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Month 7–10</w:t>
            </w:r>
          </w:p>
        </w:tc>
        <w:tc>
          <w:tcPr>
            <w:tcW w:type="dxa" w:w="336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Roll-out</w:t>
            </w:r>
          </w:p>
        </w:tc>
        <w:tc>
          <w:tcPr>
            <w:tcW w:type="dxa" w:w="403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All branches</w:t>
            </w:r>
          </w:p>
        </w:tc>
      </w:tr>
      <w:tr>
        <w:tc>
          <w:tcPr>
            <w:tcW w:type="dxa" w:w="2017"/>
            <w:vAlign w:val="center"/>
            <w:shd w:val="clear" w:color="auto" w:fill="E7F1F0"/>
          </w:tcPr>
          <w:p>
            <w:pPr>
              <w:spacing w:after="0"/>
            </w:pPr>
            <w:r/>
            <w:r>
              <w:rPr>
                <w:sz w:val="20"/>
              </w:rPr>
              <w:t>Month 11–12</w:t>
            </w:r>
          </w:p>
        </w:tc>
        <w:tc>
          <w:tcPr>
            <w:tcW w:type="dxa" w:w="3361"/>
            <w:vAlign w:val="center"/>
            <w:shd w:val="clear" w:color="auto" w:fill="E7F1F0"/>
          </w:tcPr>
          <w:p>
            <w:pPr>
              <w:spacing w:after="0"/>
            </w:pPr>
            <w:r/>
            <w:r>
              <w:rPr>
                <w:sz w:val="20"/>
              </w:rPr>
              <w:t>Digital repayment push</w:t>
            </w:r>
          </w:p>
        </w:tc>
        <w:tc>
          <w:tcPr>
            <w:tcW w:type="dxa" w:w="4033"/>
            <w:vAlign w:val="center"/>
            <w:shd w:val="clear" w:color="auto" w:fill="E7F1F0"/>
          </w:tcPr>
          <w:p>
            <w:pPr>
              <w:spacing w:after="0"/>
            </w:pPr>
            <w:r/>
            <w:r>
              <w:rPr>
                <w:sz w:val="20"/>
              </w:rPr>
              <w:t>Awareness campaign</w:t>
            </w:r>
          </w:p>
        </w:tc>
      </w:tr>
    </w:tbl>
    <w:p>
      <w:pPr>
        <w:spacing w:after="80"/>
      </w:pPr>
    </w:p>
    <w:p>
      <w:pPr>
        <w:pStyle w:val="Heading1"/>
      </w:pPr>
      <w:r>
        <w:t>Results</w:t>
      </w:r>
    </w:p>
    <w:p>
      <w:pPr>
        <w:jc w:val="both"/>
      </w:pPr>
      <w:r>
        <w:t>Collections became faster and more transparent, and a growing share of borrowers repaid digitally.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137"/>
        <w:gridCol w:w="3137"/>
        <w:gridCol w:w="3137"/>
      </w:tblGrid>
      <w:tr>
        <w:trPr>
          <w:tblHeader/>
        </w:trPr>
        <w:tc>
          <w:tcPr>
            <w:tcW w:type="dxa" w:w="3137"/>
            <w:vAlign w:val="center"/>
            <w:shd w:val="clear" w:color="auto" w:fill="0F766E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Metric</w:t>
            </w:r>
          </w:p>
        </w:tc>
        <w:tc>
          <w:tcPr>
            <w:tcW w:type="dxa" w:w="3137"/>
            <w:vAlign w:val="center"/>
            <w:shd w:val="clear" w:color="auto" w:fill="0F766E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Before</w:t>
            </w:r>
          </w:p>
        </w:tc>
        <w:tc>
          <w:tcPr>
            <w:tcW w:type="dxa" w:w="3137"/>
            <w:vAlign w:val="center"/>
            <w:shd w:val="clear" w:color="auto" w:fill="0F766E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After</w:t>
            </w:r>
          </w:p>
        </w:tc>
      </w:tr>
      <w:tr>
        <w:tc>
          <w:tcPr>
            <w:tcW w:type="dxa" w:w="3137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Reconciliation time (hours/week/branch)</w:t>
            </w:r>
          </w:p>
        </w:tc>
        <w:tc>
          <w:tcPr>
            <w:tcW w:type="dxa" w:w="313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20</w:t>
            </w:r>
          </w:p>
        </w:tc>
        <w:tc>
          <w:tcPr>
            <w:tcW w:type="dxa" w:w="313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6</w:t>
            </w:r>
          </w:p>
        </w:tc>
      </w:tr>
      <w:tr>
        <w:tc>
          <w:tcPr>
            <w:tcW w:type="dxa" w:w="3137"/>
            <w:vAlign w:val="center"/>
            <w:shd w:val="clear" w:color="auto" w:fill="E7F1F0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Data entry errors (per 1,000 entries)</w:t>
            </w:r>
          </w:p>
        </w:tc>
        <w:tc>
          <w:tcPr>
            <w:tcW w:type="dxa" w:w="3137"/>
            <w:vAlign w:val="center"/>
            <w:shd w:val="clear" w:color="auto" w:fill="E7F1F0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14</w:t>
            </w:r>
          </w:p>
        </w:tc>
        <w:tc>
          <w:tcPr>
            <w:tcW w:type="dxa" w:w="3137"/>
            <w:vAlign w:val="center"/>
            <w:shd w:val="clear" w:color="auto" w:fill="E7F1F0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2</w:t>
            </w:r>
          </w:p>
        </w:tc>
      </w:tr>
      <w:tr>
        <w:tc>
          <w:tcPr>
            <w:tcW w:type="dxa" w:w="3137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Digital repayments</w:t>
            </w:r>
          </w:p>
        </w:tc>
        <w:tc>
          <w:tcPr>
            <w:tcW w:type="dxa" w:w="313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0%</w:t>
            </w:r>
          </w:p>
        </w:tc>
        <w:tc>
          <w:tcPr>
            <w:tcW w:type="dxa" w:w="313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46%</w:t>
            </w:r>
          </w:p>
        </w:tc>
      </w:tr>
      <w:tr>
        <w:tc>
          <w:tcPr>
            <w:tcW w:type="dxa" w:w="3137"/>
            <w:vAlign w:val="center"/>
            <w:shd w:val="clear" w:color="auto" w:fill="E7F1F0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Borrower satisfaction (1–5)</w:t>
            </w:r>
          </w:p>
        </w:tc>
        <w:tc>
          <w:tcPr>
            <w:tcW w:type="dxa" w:w="3137"/>
            <w:vAlign w:val="center"/>
            <w:shd w:val="clear" w:color="auto" w:fill="E7F1F0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3.4</w:t>
            </w:r>
          </w:p>
        </w:tc>
        <w:tc>
          <w:tcPr>
            <w:tcW w:type="dxa" w:w="3137"/>
            <w:vAlign w:val="center"/>
            <w:shd w:val="clear" w:color="auto" w:fill="E7F1F0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4.2</w:t>
            </w:r>
          </w:p>
        </w:tc>
      </w:tr>
    </w:tbl>
    <w:p>
      <w:pPr>
        <w:spacing w:after="80"/>
      </w:pPr>
    </w:p>
    <w:p>
      <w:pPr>
        <w:pStyle w:val="Caption"/>
        <w:jc w:val="center"/>
      </w:pPr>
      <w:r>
        <w:t>Exhibit 1: Key metrics before and after (sample data)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4" w:space="0" w:color="CCCED2"/>
          <w:left w:val="single" w:sz="4" w:space="0" w:color="CCCED2"/>
          <w:bottom w:val="single" w:sz="4" w:space="0" w:color="CCCED2"/>
          <w:right w:val="single" w:sz="4" w:space="0" w:color="CCCED2"/>
          <w:insideH w:val="single" w:sz="4" w:space="0" w:color="CCCED2"/>
          <w:insideV w:val="single" w:sz="4" w:space="0" w:color="CCCED2"/>
        </w:tblBorders>
      </w:tblPr>
      <w:tblGrid>
        <w:gridCol w:w="9412"/>
      </w:tblGrid>
      <w:tr>
        <w:trPr>
          <w:trHeight w:val="3118" w:hRule="exact"/>
        </w:trPr>
        <w:tc>
          <w:tcPr>
            <w:tcW w:type="dxa" w:w="9411"/>
            <w:shd w:val="clear" w:color="auto" w:fill="E7F1F0"/>
            <w:vAlign w:val="center"/>
          </w:tcPr>
          <w:p>
            <w:pPr>
              <w:jc w:val="center"/>
            </w:pPr>
            <w:r>
              <w:rPr>
                <w:color w:val="6F7581"/>
                <w:sz w:val="20"/>
              </w:rPr>
              <w:t>Chart placeholder — insert a before/after chart</w:t>
            </w:r>
          </w:p>
        </w:tc>
      </w:tr>
    </w:tbl>
    <w:p>
      <w:pPr>
        <w:pStyle w:val="Caption"/>
        <w:spacing w:before="80"/>
        <w:jc w:val="center"/>
      </w:pPr>
      <w:r>
        <w:t>Exhibit 2: Trend over the implementation period (sample data)</w:t>
      </w:r>
    </w:p>
    <w:p>
      <w:pPr>
        <w:pStyle w:val="Heading1"/>
      </w:pPr>
      <w:r>
        <w:t>Lessons Learned</w:t>
      </w:r>
    </w:p>
    <w:p>
      <w:pPr>
        <w:spacing w:after="80"/>
      </w:pPr>
      <w:r>
        <w:rPr>
          <w:b/>
          <w:color w:val="0F766E"/>
        </w:rPr>
        <w:t xml:space="preserve">Design for the field. </w:t>
      </w:r>
      <w:r>
        <w:t>Offline-first design was essential.</w:t>
      </w:r>
    </w:p>
    <w:p>
      <w:pPr>
        <w:spacing w:after="80"/>
      </w:pPr>
      <w:r>
        <w:rPr>
          <w:b/>
          <w:color w:val="0F766E"/>
        </w:rPr>
        <w:t xml:space="preserve">Keep choices open. </w:t>
      </w:r>
      <w:r>
        <w:t>Allowing cash maintained trust while digital use grew.</w:t>
      </w:r>
    </w:p>
    <w:p>
      <w:pPr>
        <w:spacing w:after="80"/>
      </w:pPr>
      <w:r>
        <w:rPr>
          <w:b/>
          <w:color w:val="0F766E"/>
        </w:rPr>
        <w:t xml:space="preserve">Involve officers early. </w:t>
      </w:r>
      <w:r>
        <w:t>Officer feedback shaped a simpler app.</w:t>
      </w:r>
    </w:p>
    <w:p>
      <w:pPr>
        <w:pStyle w:val="Heading1"/>
      </w:pPr>
      <w:r>
        <w:t>Analysis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12" w:space="0" w:color="FFFFFF"/>
          <w:insideV w:val="single" w:sz="12" w:space="0" w:color="FFFFFF"/>
        </w:tblBorders>
      </w:tblPr>
      <w:tblGrid>
        <w:gridCol w:w="4706"/>
        <w:gridCol w:w="4706"/>
      </w:tblGrid>
      <w:tr>
        <w:tc>
          <w:tcPr>
            <w:tcW w:type="dxa" w:w="4706"/>
            <w:shd w:val="clear" w:color="auto" w:fill="E7F1F0"/>
          </w:tcPr>
          <w:p>
            <w:r>
              <w:rPr>
                <w:b/>
                <w:color w:val="0F766E"/>
              </w:rPr>
              <w:t>What worked</w:t>
            </w:r>
          </w:p>
          <w:p>
            <w:pPr>
              <w:spacing w:after="40"/>
            </w:pPr>
            <w:r>
              <w:t>• Offline sync</w:t>
            </w:r>
          </w:p>
          <w:p>
            <w:pPr>
              <w:spacing w:after="40"/>
            </w:pPr>
            <w:r>
              <w:t>• SMS receipts</w:t>
            </w:r>
          </w:p>
        </w:tc>
        <w:tc>
          <w:tcPr>
            <w:tcW w:type="dxa" w:w="4706"/>
            <w:shd w:val="clear" w:color="auto" w:fill="CAE1DF"/>
          </w:tcPr>
          <w:p>
            <w:r>
              <w:rPr>
                <w:b/>
                <w:color w:val="0F766E"/>
              </w:rPr>
              <w:t>What was difficult</w:t>
            </w:r>
          </w:p>
          <w:p>
            <w:pPr>
              <w:spacing w:after="40"/>
            </w:pPr>
            <w:r>
              <w:t>• Device costs</w:t>
            </w:r>
          </w:p>
          <w:p>
            <w:pPr>
              <w:spacing w:after="40"/>
            </w:pPr>
            <w:r>
              <w:t>• Training older borrowers</w:t>
            </w:r>
          </w:p>
        </w:tc>
      </w:tr>
      <w:tr>
        <w:tc>
          <w:tcPr>
            <w:tcW w:type="dxa" w:w="4706"/>
            <w:shd w:val="clear" w:color="auto" w:fill="CAE1DF"/>
          </w:tcPr>
          <w:p>
            <w:r>
              <w:rPr>
                <w:b/>
                <w:color w:val="0F766E"/>
              </w:rPr>
              <w:t>Opportunities</w:t>
            </w:r>
          </w:p>
          <w:p>
            <w:pPr>
              <w:spacing w:after="40"/>
            </w:pPr>
            <w:r>
              <w:t>• Credit history for borrowers</w:t>
            </w:r>
          </w:p>
          <w:p>
            <w:pPr>
              <w:spacing w:after="40"/>
            </w:pPr>
            <w:r>
              <w:t>• Insurance products</w:t>
            </w:r>
          </w:p>
        </w:tc>
        <w:tc>
          <w:tcPr>
            <w:tcW w:type="dxa" w:w="4706"/>
            <w:shd w:val="clear" w:color="auto" w:fill="E7F1F0"/>
          </w:tcPr>
          <w:p>
            <w:r>
              <w:rPr>
                <w:b/>
                <w:color w:val="0F766E"/>
              </w:rPr>
              <w:t>Risks to sustain</w:t>
            </w:r>
          </w:p>
          <w:p>
            <w:pPr>
              <w:spacing w:after="40"/>
            </w:pPr>
            <w:r>
              <w:t>• Network changes</w:t>
            </w:r>
          </w:p>
          <w:p>
            <w:pPr>
              <w:spacing w:after="40"/>
            </w:pPr>
            <w:r>
              <w:t>• Fraud attempts</w:t>
            </w:r>
          </w:p>
        </w:tc>
      </w:tr>
    </w:tbl>
    <w:p/>
    <w:p>
      <w:pPr>
        <w:pStyle w:val="Heading1"/>
      </w:pPr>
      <w:r>
        <w:t>Discussion Questions</w:t>
      </w:r>
    </w:p>
    <w:p>
      <w:r>
        <w:rPr>
          <w:i/>
          <w:color w:val="6F7581"/>
        </w:rPr>
        <w:t>Use these questions for classroom discussion or self-study.</w:t>
      </w:r>
    </w:p>
    <w:p>
      <w:pPr>
        <w:pStyle w:val="ListNumber"/>
      </w:pPr>
      <w:r>
        <w:t>Why was an offline-first design important here?</w:t>
      </w:r>
    </w:p>
    <w:p>
      <w:pPr>
        <w:pStyle w:val="ListNumber"/>
      </w:pPr>
      <w:r>
        <w:t>How should the company balance digital adoption with inclusion?</w:t>
      </w:r>
    </w:p>
    <w:p>
      <w:pPr>
        <w:pStyle w:val="ListNumber"/>
      </w:pPr>
      <w:r>
        <w:t>What incentives would you give loan officers?</w:t>
      </w:r>
    </w:p>
    <w:p>
      <w:pPr>
        <w:pStyle w:val="ListNumber"/>
      </w:pPr>
      <w:r>
        <w:t>What new products could the data enable?</w:t>
      </w:r>
    </w:p>
    <w:p>
      <w:pPr>
        <w:pStyle w:val="Heading1"/>
      </w:pPr>
      <w:r>
        <w:t>Conclusion</w:t>
      </w:r>
    </w:p>
    <w:p>
      <w:pPr>
        <w:jc w:val="both"/>
      </w:pPr>
      <w:r>
        <w:t>Thoughtful, field-led design allowed the company to digitise collections while keeping borrowers at the centre.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85" w:right="1247" w:bottom="1185" w:left="1247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color w:val="6F7581"/>
        <w:sz w:val="18"/>
      </w:rPr>
      <w:t xml:space="preserve">Page </w:t>
    </w:r>
    <w:r>
      <w:rPr>
        <w:color w:val="6F7581"/>
        <w:sz w:val="18"/>
      </w:rPr>
      <w:fldChar w:fldCharType="begin"/>
    </w:r>
    <w:r>
      <w:rPr>
        <w:color w:val="6F7581"/>
        <w:sz w:val="18"/>
      </w:rPr>
      <w:instrText xml:space="preserve"> PAGE </w:instrText>
    </w:r>
    <w:r>
      <w:rPr>
        <w:color w:val="6F7581"/>
        <w:sz w:val="18"/>
      </w:rPr>
      <w:fldChar w:fldCharType="separate"/>
    </w:r>
    <w:r>
      <w:rPr>
        <w:color w:val="6F7581"/>
        <w:sz w:val="18"/>
      </w:rPr>
      <w:t>1</w:t>
    </w:r>
    <w:r>
      <w:rPr>
        <w:color w:val="6F7581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411" w:val="right"/>
      </w:tabs>
      <w:pBdr>
        <w:bottom w:val="single" w:sz="4" w:space="6" w:color="CCCED2"/>
      </w:pBdr>
    </w:pPr>
    <w:r/>
    <w:r>
      <w:rPr>
        <w:caps w:val="0"/>
        <w:color w:val="6F7581"/>
        <w:sz w:val="17"/>
      </w:rPr>
      <w:t>Case Study · Microfinance digital collections</w:t>
    </w:r>
    <w:r>
      <w:rPr>
        <w:color w:val="6F7581"/>
        <w:sz w:val="17"/>
      </w:rPr>
      <w:tab/>
      <w:t>Fintech and Development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32" w:line="300" w:lineRule="auto"/>
    </w:pPr>
    <w:rPr>
      <w:rFonts w:ascii="Calibri" w:hAnsi="Calibri" w:cs="Calibri" w:eastAsia="Calibri"/>
      <w:color w:val="172033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ind w:left="170"/>
      <w:outlineLvl w:val="0"/>
      <w:shd w:val="clear" w:color="auto" w:fill="CAE1DF"/>
      <w:pBdr>
        <w:left w:val="single" w:sz="36" w:space="8" w:color="0F766E"/>
      </w:pBdr>
    </w:pPr>
    <w:rPr>
      <w:rFonts w:ascii="Calibri" w:hAnsi="Calibri" w:cs="Calibri" w:eastAsia="Calibri"/>
      <w:b/>
      <w:bCs/>
      <w:i w:val="0"/>
      <w:color w:val="172033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Calibri" w:hAnsi="Calibri" w:cs="Calibri" w:eastAsia="Calibri"/>
      <w:b/>
      <w:bCs/>
      <w:i w:val="0"/>
      <w:color w:val="172033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Calibri" w:hAnsi="Calibri" w:cs="Calibri" w:eastAsia="Calibri"/>
      <w:b/>
      <w:bCs/>
      <w:i w:val="0"/>
      <w:color w:val="172033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Calibri" w:hAnsi="Calibri" w:cs="Calibri" w:eastAsia="Calibri"/>
      <w:b/>
      <w:color w:val="172033"/>
      <w:spacing w:val="5"/>
      <w:kern w:val="28"/>
      <w:sz w:val="76"/>
      <w:szCs w:val="76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Calibri" w:hAnsi="Calibri" w:cs="Calibri" w:eastAsia="Calibri"/>
      <w:i w:val="0"/>
      <w:iCs/>
      <w:color w:val="6F7581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Calibri" w:hAnsi="Calibri" w:cs="Calibri" w:eastAsia="Calibri"/>
      <w:i/>
      <w:iCs/>
      <w:color w:val="172033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Calibri" w:hAnsi="Calibri" w:cs="Calibri" w:eastAsia="Calibri"/>
      <w:b w:val="0"/>
      <w:bCs/>
      <w:i/>
      <w:color w:val="6F758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411" w:val="right" w:leader="dot"/>
      </w:tabs>
      <w:spacing w:after="120"/>
      <w:ind w:left="0"/>
    </w:pPr>
    <w:rPr>
      <w:rFonts w:ascii="Calibri" w:hAnsi="Calibri" w:cs="Calibri" w:eastAsia="Calibri"/>
      <w:b/>
      <w:sz w:val="24"/>
      <w:szCs w:val="24"/>
    </w:rPr>
  </w:style>
  <w:style w:type="paragraph" w:customStyle="1" w:styleId="TOC2">
    <w:name w:val="TOC 2"/>
    <w:basedOn w:val="Normal"/>
    <w:pPr>
      <w:tabs>
        <w:tab w:pos="9411" w:val="right" w:leader="dot"/>
      </w:tabs>
      <w:spacing w:after="80"/>
      <w:ind w:left="340"/>
    </w:pPr>
    <w:rPr>
      <w:rFonts w:ascii="Calibri" w:hAnsi="Calibri" w:cs="Calibri" w:eastAsia="Calibri"/>
      <w:b w:val="0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