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68"/>
        <w:gridCol w:w="1568"/>
        <w:gridCol w:w="1568"/>
        <w:gridCol w:w="1568"/>
        <w:gridCol w:w="1568"/>
        <w:gridCol w:w="1568"/>
      </w:tblGrid>
      <w:tr>
        <w:trPr>
          <w:trHeight w:val="1569" w:hRule="exact"/>
        </w:trPr>
        <w:tc>
          <w:tcPr>
            <w:tcW w:type="dxa" w:w="1569"/>
            <w:shd w:val="clear" w:color="auto" w:fill="CCDDD2"/>
          </w:tcPr>
          <w:p/>
        </w:tc>
        <w:tc>
          <w:tcPr>
            <w:tcW w:type="dxa" w:w="1569"/>
            <w:shd w:val="clear" w:color="auto" w:fill="1F2328"/>
          </w:tcPr>
          <w:p/>
        </w:tc>
        <w:tc>
          <w:tcPr>
            <w:tcW w:type="dxa" w:w="1569"/>
            <w:shd w:val="clear" w:color="auto" w:fill="1F2328"/>
          </w:tcPr>
          <w:p/>
        </w:tc>
        <w:tc>
          <w:tcPr>
            <w:tcW w:type="dxa" w:w="1569"/>
            <w:shd w:val="clear" w:color="auto" w:fill="1F2328"/>
          </w:tcPr>
          <w:p/>
        </w:tc>
        <w:tc>
          <w:tcPr>
            <w:tcW w:type="dxa" w:w="1569"/>
            <w:shd w:val="clear" w:color="auto" w:fill="1F2328"/>
          </w:tcPr>
          <w:p/>
        </w:tc>
        <w:tc>
          <w:tcPr>
            <w:tcW w:type="dxa" w:w="1569"/>
            <w:shd w:val="clear" w:color="auto" w:fill="0F4724"/>
          </w:tcPr>
          <w:p/>
        </w:tc>
      </w:tr>
      <w:tr>
        <w:trPr>
          <w:trHeight w:val="1569" w:hRule="exact"/>
        </w:trPr>
        <w:tc>
          <w:tcPr>
            <w:tcW w:type="dxa" w:w="1569"/>
            <w:shd w:val="clear" w:color="auto" w:fill="FFFFFF"/>
          </w:tcPr>
          <w:p/>
        </w:tc>
        <w:tc>
          <w:tcPr>
            <w:tcW w:type="dxa" w:w="1569"/>
            <w:shd w:val="clear" w:color="auto" w:fill="1F2328"/>
          </w:tcPr>
          <w:p/>
        </w:tc>
        <w:tc>
          <w:tcPr>
            <w:tcW w:type="dxa" w:w="1569"/>
            <w:shd w:val="clear" w:color="auto" w:fill="E8F0EB"/>
          </w:tcPr>
          <w:p/>
        </w:tc>
        <w:tc>
          <w:tcPr>
            <w:tcW w:type="dxa" w:w="1569"/>
            <w:shd w:val="clear" w:color="auto" w:fill="E8F0EB"/>
          </w:tcPr>
          <w:p/>
        </w:tc>
        <w:tc>
          <w:tcPr>
            <w:tcW w:type="dxa" w:w="1569"/>
            <w:shd w:val="clear" w:color="auto" w:fill="0F4724"/>
          </w:tcPr>
          <w:p/>
        </w:tc>
        <w:tc>
          <w:tcPr>
            <w:tcW w:type="dxa" w:w="1569"/>
            <w:shd w:val="clear" w:color="auto" w:fill="1F2328"/>
          </w:tcPr>
          <w:p/>
        </w:tc>
      </w:tr>
      <w:tr>
        <w:trPr>
          <w:trHeight w:val="1569" w:hRule="exact"/>
        </w:trPr>
        <w:tc>
          <w:tcPr>
            <w:tcW w:type="dxa" w:w="1569"/>
            <w:shd w:val="clear" w:color="auto" w:fill="166534"/>
          </w:tcPr>
          <w:p/>
        </w:tc>
        <w:tc>
          <w:tcPr>
            <w:tcW w:type="dxa" w:w="1569"/>
            <w:shd w:val="clear" w:color="auto" w:fill="FFFFFF"/>
          </w:tcPr>
          <w:p/>
        </w:tc>
        <w:tc>
          <w:tcPr>
            <w:tcW w:type="dxa" w:w="1569"/>
            <w:shd w:val="clear" w:color="auto" w:fill="E8F0EB"/>
          </w:tcPr>
          <w:p/>
        </w:tc>
        <w:tc>
          <w:tcPr>
            <w:tcW w:type="dxa" w:w="1569"/>
            <w:shd w:val="clear" w:color="auto" w:fill="FFFFFF"/>
          </w:tcPr>
          <w:p/>
        </w:tc>
        <w:tc>
          <w:tcPr>
            <w:tcW w:type="dxa" w:w="1569"/>
            <w:shd w:val="clear" w:color="auto" w:fill="E8F0EB"/>
          </w:tcPr>
          <w:p/>
        </w:tc>
        <w:tc>
          <w:tcPr>
            <w:tcW w:type="dxa" w:w="1569"/>
            <w:shd w:val="clear" w:color="auto" w:fill="E8F0EB"/>
          </w:tcPr>
          <w:p/>
        </w:tc>
      </w:tr>
      <w:tr>
        <w:trPr>
          <w:trHeight w:val="1569" w:hRule="exact"/>
        </w:trPr>
        <w:tc>
          <w:tcPr>
            <w:tcW w:type="dxa" w:w="1569"/>
            <w:shd w:val="clear" w:color="auto" w:fill="0F4724"/>
          </w:tcPr>
          <w:p/>
        </w:tc>
        <w:tc>
          <w:tcPr>
            <w:tcW w:type="dxa" w:w="1569"/>
            <w:shd w:val="clear" w:color="auto" w:fill="0F4724"/>
          </w:tcPr>
          <w:p/>
        </w:tc>
        <w:tc>
          <w:tcPr>
            <w:tcW w:type="dxa" w:w="1569"/>
            <w:shd w:val="clear" w:color="auto" w:fill="166534"/>
          </w:tcPr>
          <w:p/>
        </w:tc>
        <w:tc>
          <w:tcPr>
            <w:tcW w:type="dxa" w:w="1569"/>
            <w:shd w:val="clear" w:color="auto" w:fill="0F4724"/>
          </w:tcPr>
          <w:p/>
        </w:tc>
        <w:tc>
          <w:tcPr>
            <w:tcW w:type="dxa" w:w="1569"/>
            <w:shd w:val="clear" w:color="auto" w:fill="1F2328"/>
          </w:tcPr>
          <w:p/>
        </w:tc>
        <w:tc>
          <w:tcPr>
            <w:tcW w:type="dxa" w:w="1569"/>
            <w:shd w:val="clear" w:color="auto" w:fill="E8F0EB"/>
          </w:tcPr>
          <w:p/>
        </w:tc>
      </w:tr>
    </w:tbl>
    <w:p>
      <w:pPr>
        <w:spacing w:after="400"/>
      </w:pPr>
    </w:p>
    <w:p>
      <w:r>
        <w:rPr>
          <w:b/>
          <w:i w:val="0"/>
          <w:caps/>
          <w:color w:val="166534"/>
          <w:sz w:val="20"/>
          <w:spacing w:val="40"/>
        </w:rPr>
        <w:t>Company Profile 2026</w:t>
      </w:r>
    </w:p>
    <w:p>
      <w:pPr>
        <w:pStyle w:val="Title"/>
      </w:pPr>
      <w:r>
        <w:rPr>
          <w:sz w:val="76"/>
        </w:rPr>
        <w:t>Utsav Events &amp; Experiences</w:t>
      </w:r>
    </w:p>
    <w:p>
      <w:r>
        <w:rPr>
          <w:b w:val="0"/>
          <w:i w:val="0"/>
          <w:color w:val="74777A"/>
          <w:sz w:val="26"/>
        </w:rPr>
        <w:t>Weddings, corporate events and celebrations, beautifully managed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ESTABLISHED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HEADQUARTERS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WEBSITE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2012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Jaipur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www.yourdomain.in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About Us</w:t>
      </w:r>
      <w:r>
        <w:tab/>
        <w:t>2</w:t>
      </w:r>
    </w:p>
    <w:p>
      <w:pPr>
        <w:pStyle w:val="TOC1"/>
      </w:pPr>
      <w:r>
        <w:t>02  Vision, Mission and Values</w:t>
      </w:r>
      <w:r>
        <w:tab/>
        <w:t>3</w:t>
      </w:r>
    </w:p>
    <w:p>
      <w:pPr>
        <w:pStyle w:val="TOC2"/>
      </w:pPr>
      <w:r>
        <w:t>Our Values</w:t>
      </w:r>
      <w:r>
        <w:tab/>
        <w:t>3</w:t>
      </w:r>
    </w:p>
    <w:p>
      <w:pPr>
        <w:pStyle w:val="TOC1"/>
      </w:pPr>
      <w:r>
        <w:t>03  What We Do</w:t>
      </w:r>
      <w:r>
        <w:tab/>
        <w:t>3</w:t>
      </w:r>
    </w:p>
    <w:p>
      <w:pPr>
        <w:pStyle w:val="TOC2"/>
      </w:pPr>
      <w:r>
        <w:t>Wedding Planning</w:t>
      </w:r>
      <w:r>
        <w:tab/>
        <w:t>3</w:t>
      </w:r>
    </w:p>
    <w:p>
      <w:pPr>
        <w:pStyle w:val="TOC2"/>
      </w:pPr>
      <w:r>
        <w:t>Corporate Events</w:t>
      </w:r>
      <w:r>
        <w:tab/>
        <w:t>4</w:t>
      </w:r>
    </w:p>
    <w:p>
      <w:pPr>
        <w:pStyle w:val="TOC2"/>
      </w:pPr>
      <w:r>
        <w:t>Private Celebrations</w:t>
      </w:r>
      <w:r>
        <w:tab/>
        <w:t>4</w:t>
      </w:r>
    </w:p>
    <w:p>
      <w:pPr>
        <w:pStyle w:val="TOC2"/>
      </w:pPr>
      <w:r>
        <w:t>Cultural Experiences</w:t>
      </w:r>
      <w:r>
        <w:tab/>
        <w:t>4</w:t>
      </w:r>
    </w:p>
    <w:p>
      <w:pPr>
        <w:pStyle w:val="TOC1"/>
      </w:pPr>
      <w:r>
        <w:t>04  Industries We Serve</w:t>
      </w:r>
      <w:r>
        <w:tab/>
        <w:t>4</w:t>
      </w:r>
    </w:p>
    <w:p>
      <w:pPr>
        <w:pStyle w:val="TOC1"/>
      </w:pPr>
      <w:r>
        <w:t>05  How We Work</w:t>
      </w:r>
      <w:r>
        <w:tab/>
        <w:t>4</w:t>
      </w:r>
    </w:p>
    <w:p>
      <w:pPr>
        <w:pStyle w:val="TOC1"/>
      </w:pPr>
      <w:r>
        <w:t>06  Why Choose Us</w:t>
      </w:r>
      <w:r>
        <w:tab/>
        <w:t>5</w:t>
      </w:r>
    </w:p>
    <w:p>
      <w:pPr>
        <w:pStyle w:val="TOC1"/>
      </w:pPr>
      <w:r>
        <w:t>07  Leadership Team</w:t>
      </w:r>
      <w:r>
        <w:tab/>
        <w:t>5</w:t>
      </w:r>
    </w:p>
    <w:p>
      <w:pPr>
        <w:pStyle w:val="TOC1"/>
      </w:pPr>
      <w:r>
        <w:t>08  Selected Projects</w:t>
      </w:r>
      <w:r>
        <w:tab/>
        <w:t>5</w:t>
      </w:r>
    </w:p>
    <w:p>
      <w:pPr>
        <w:pStyle w:val="TOC2"/>
      </w:pPr>
      <w:r>
        <w:t>Palace courtyard wedding</w:t>
      </w:r>
      <w:r>
        <w:tab/>
        <w:t>5</w:t>
      </w:r>
    </w:p>
    <w:p>
      <w:pPr>
        <w:pStyle w:val="TOC2"/>
      </w:pPr>
      <w:r>
        <w:t>Annual sales conference</w:t>
      </w:r>
      <w:r>
        <w:tab/>
        <w:t>5</w:t>
      </w:r>
    </w:p>
    <w:p>
      <w:pPr>
        <w:pStyle w:val="TOC2"/>
      </w:pPr>
      <w:r>
        <w:t>Silver jubilee celebration</w:t>
      </w:r>
      <w:r>
        <w:tab/>
        <w:t>6</w:t>
      </w:r>
    </w:p>
    <w:p>
      <w:pPr>
        <w:pStyle w:val="TOC1"/>
      </w:pPr>
      <w:r>
        <w:t>09  Infrastructure and Capabilities</w:t>
      </w:r>
      <w:r>
        <w:tab/>
        <w:t>6</w:t>
      </w:r>
    </w:p>
    <w:p>
      <w:pPr>
        <w:pStyle w:val="TOC1"/>
      </w:pPr>
      <w:r>
        <w:t>10  Certifications and Memberships</w:t>
      </w:r>
      <w:r>
        <w:tab/>
        <w:t>6</w:t>
      </w:r>
    </w:p>
    <w:p>
      <w:pPr>
        <w:pStyle w:val="TOC1"/>
      </w:pPr>
      <w:r>
        <w:t>11  Corporate Social Responsibility</w:t>
      </w:r>
      <w:r>
        <w:tab/>
        <w:t>6</w:t>
      </w:r>
    </w:p>
    <w:p>
      <w:pPr>
        <w:pStyle w:val="TOC1"/>
      </w:pPr>
      <w:r>
        <w:t>12  Contact Us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About Us</w:t>
      </w:r>
    </w:p>
    <w:p>
      <w:pPr>
        <w:jc w:val="both"/>
      </w:pPr>
      <w:r>
        <w:t>Utsav Events &amp; Experiences plans and produces weddings, corporate events and cultural celebrations across Rajasthan and beyond.</w:t>
      </w:r>
    </w:p>
    <w:p>
      <w:pPr>
        <w:jc w:val="both"/>
      </w:pPr>
      <w:r>
        <w:t>From intimate gatherings to large conferences, we handle design, vendors, guests and on-the-day production so that our clients can enjoy their occasion.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CCDDD2"/>
          </w:tcPr>
          <w:p>
            <w:pPr>
              <w:spacing w:after="40"/>
            </w:pPr>
            <w:r>
              <w:rPr>
                <w:rFonts w:ascii="Fraunces" w:hAnsi="Fraunces" w:cs="Fraunces" w:eastAsia="Fraunces"/>
                <w:b/>
                <w:color w:val="166534"/>
                <w:sz w:val="40"/>
              </w:rPr>
              <w:t>12 yrs</w:t>
            </w:r>
          </w:p>
          <w:p>
            <w:pPr>
              <w:spacing w:after="0"/>
            </w:pPr>
            <w:r>
              <w:rPr>
                <w:sz w:val="18"/>
              </w:rPr>
              <w:t>Of celebrations</w:t>
            </w:r>
          </w:p>
        </w:tc>
        <w:tc>
          <w:tcPr>
            <w:tcW w:type="dxa" w:w="3137"/>
            <w:shd w:val="clear" w:color="auto" w:fill="CCDDD2"/>
          </w:tcPr>
          <w:p>
            <w:pPr>
              <w:spacing w:after="40"/>
            </w:pPr>
            <w:r>
              <w:rPr>
                <w:rFonts w:ascii="Fraunces" w:hAnsi="Fraunces" w:cs="Fraunces" w:eastAsia="Fraunces"/>
                <w:b/>
                <w:color w:val="166534"/>
                <w:sz w:val="40"/>
              </w:rPr>
              <w:t>500+</w:t>
            </w:r>
          </w:p>
          <w:p>
            <w:pPr>
              <w:spacing w:after="0"/>
            </w:pPr>
            <w:r>
              <w:rPr>
                <w:sz w:val="18"/>
              </w:rPr>
              <w:t>Events managed</w:t>
            </w:r>
          </w:p>
        </w:tc>
        <w:tc>
          <w:tcPr>
            <w:tcW w:type="dxa" w:w="3137"/>
            <w:shd w:val="clear" w:color="auto" w:fill="CCDDD2"/>
          </w:tcPr>
          <w:p>
            <w:pPr>
              <w:spacing w:after="40"/>
            </w:pPr>
            <w:r>
              <w:rPr>
                <w:rFonts w:ascii="Fraunces" w:hAnsi="Fraunces" w:cs="Fraunces" w:eastAsia="Fraunces"/>
                <w:b/>
                <w:color w:val="166534"/>
                <w:sz w:val="40"/>
              </w:rPr>
              <w:t>40</w:t>
            </w:r>
          </w:p>
          <w:p>
            <w:pPr>
              <w:spacing w:after="0"/>
            </w:pPr>
            <w:r>
              <w:rPr>
                <w:sz w:val="18"/>
              </w:rPr>
              <w:t>Core team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02  Vision, Mission and Values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F0EB"/>
            <w:tcBorders>
              <w:left w:val="single" w:sz="36" w:space="0" w:color="166534"/>
            </w:tcBorders>
          </w:tcPr>
          <w:p>
            <w:pPr>
              <w:spacing w:after="60"/>
            </w:pPr>
            <w:r>
              <w:rPr>
                <w:b/>
                <w:color w:val="166534"/>
              </w:rPr>
              <w:t>Our vision</w:t>
            </w:r>
          </w:p>
          <w:p>
            <w:pPr>
              <w:spacing w:after="0"/>
            </w:pPr>
            <w:r>
              <w:t>Every celebration should feel effortless and unforgettable.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F0EB"/>
            <w:tcBorders>
              <w:left w:val="single" w:sz="36" w:space="0" w:color="166534"/>
            </w:tcBorders>
          </w:tcPr>
          <w:p>
            <w:pPr>
              <w:spacing w:after="60"/>
            </w:pPr>
            <w:r>
              <w:rPr>
                <w:b/>
                <w:color w:val="166534"/>
              </w:rPr>
              <w:t>Our mission</w:t>
            </w:r>
          </w:p>
          <w:p>
            <w:pPr>
              <w:spacing w:after="0"/>
            </w:pPr>
            <w:r>
              <w:t>To design meaningful experiences and deliver them flawlessly.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706"/>
        <w:gridCol w:w="4706"/>
      </w:tblGrid>
      <w:tr>
        <w:tc>
          <w:tcPr>
            <w:tcW w:type="dxa" w:w="4706"/>
            <w:shd w:val="clear" w:color="auto" w:fill="E8F0EB"/>
          </w:tcPr>
          <w:p>
            <w:pPr>
              <w:spacing w:after="40"/>
            </w:pPr>
            <w:r>
              <w:rPr>
                <w:b/>
                <w:color w:val="166534"/>
              </w:rPr>
              <w:t>Care</w:t>
            </w:r>
          </w:p>
          <w:p>
            <w:pPr>
              <w:spacing w:after="40"/>
            </w:pPr>
            <w:r>
              <w:t>We treat every event as our own.</w:t>
            </w:r>
          </w:p>
        </w:tc>
        <w:tc>
          <w:tcPr>
            <w:tcW w:type="dxa" w:w="4706"/>
            <w:shd w:val="clear" w:color="auto" w:fill="E8F0EB"/>
          </w:tcPr>
          <w:p>
            <w:pPr>
              <w:spacing w:after="40"/>
            </w:pPr>
            <w:r>
              <w:rPr>
                <w:b/>
                <w:color w:val="166534"/>
              </w:rPr>
              <w:t>Creativity</w:t>
            </w:r>
          </w:p>
          <w:p>
            <w:pPr>
              <w:spacing w:after="40"/>
            </w:pPr>
            <w:r>
              <w:t>Fresh ideas rooted in culture.</w:t>
            </w:r>
          </w:p>
        </w:tc>
      </w:tr>
      <w:tr>
        <w:tc>
          <w:tcPr>
            <w:tcW w:type="dxa" w:w="4706"/>
            <w:shd w:val="clear" w:color="auto" w:fill="E8F0EB"/>
          </w:tcPr>
          <w:p>
            <w:pPr>
              <w:spacing w:after="40"/>
            </w:pPr>
            <w:r>
              <w:rPr>
                <w:b/>
                <w:color w:val="166534"/>
              </w:rPr>
              <w:t>Precision</w:t>
            </w:r>
          </w:p>
          <w:p>
            <w:pPr>
              <w:spacing w:after="40"/>
            </w:pPr>
            <w:r>
              <w:t>Plans down to the minute.</w:t>
            </w:r>
          </w:p>
        </w:tc>
        <w:tc>
          <w:tcPr>
            <w:tcW w:type="dxa" w:w="4706"/>
            <w:shd w:val="clear" w:color="auto" w:fill="E8F0EB"/>
          </w:tcPr>
          <w:p>
            <w:pPr>
              <w:spacing w:after="40"/>
            </w:pPr>
            <w:r>
              <w:rPr>
                <w:b/>
                <w:color w:val="166534"/>
              </w:rPr>
              <w:t>Honesty</w:t>
            </w:r>
          </w:p>
          <w:p>
            <w:pPr>
              <w:spacing w:after="40"/>
            </w:pPr>
            <w:r>
              <w:t>Clear budgets, no surprises.</w:t>
            </w:r>
          </w:p>
        </w:tc>
      </w:tr>
    </w:tbl>
    <w:p/>
    <w:p>
      <w:pPr>
        <w:pStyle w:val="Heading1"/>
      </w:pPr>
      <w:r>
        <w:t>03  What We Do</w:t>
      </w:r>
    </w:p>
    <w:p>
      <w:pPr>
        <w:jc w:val="both"/>
      </w:pPr>
      <w:r>
        <w:t>We offer end-to-end planning or day-of coordination for weddings, corporate events and private celebrations.</w:t>
      </w:r>
    </w:p>
    <w:p>
      <w:pPr>
        <w:pStyle w:val="Heading2"/>
      </w:pPr>
      <w:r>
        <w:t>Wedding Planning</w:t>
      </w:r>
    </w:p>
    <w:p>
      <w:pPr>
        <w:jc w:val="both"/>
      </w:pPr>
      <w:r>
        <w:t>Venue, décor, vendors, guest management and ceremony coordination.</w:t>
      </w:r>
    </w:p>
    <w:p>
      <w:pPr>
        <w:pStyle w:val="ListBullet"/>
      </w:pPr>
      <w:r>
        <w:t>Destination weddings</w:t>
      </w:r>
    </w:p>
    <w:p>
      <w:pPr>
        <w:pStyle w:val="ListBullet"/>
      </w:pPr>
      <w:r>
        <w:t>Theme and décor design</w:t>
      </w:r>
    </w:p>
    <w:p>
      <w:pPr>
        <w:pStyle w:val="ListBullet"/>
      </w:pPr>
      <w:r>
        <w:t>Guest hospitality</w:t>
      </w:r>
    </w:p>
    <w:p>
      <w:pPr>
        <w:pStyle w:val="Heading2"/>
      </w:pPr>
      <w:r>
        <w:t>Corporate Events</w:t>
      </w:r>
    </w:p>
    <w:p>
      <w:pPr>
        <w:jc w:val="both"/>
      </w:pPr>
      <w:r>
        <w:t>Conferences, launches, offsites and award nights.</w:t>
      </w:r>
    </w:p>
    <w:p>
      <w:pPr>
        <w:pStyle w:val="ListBullet"/>
      </w:pPr>
      <w:r>
        <w:t>Stage and AV production</w:t>
      </w:r>
    </w:p>
    <w:p>
      <w:pPr>
        <w:pStyle w:val="ListBullet"/>
      </w:pPr>
      <w:r>
        <w:t>Registration and logistics</w:t>
      </w:r>
    </w:p>
    <w:p>
      <w:pPr>
        <w:pStyle w:val="ListBullet"/>
      </w:pPr>
      <w:r>
        <w:t>Speaker management</w:t>
      </w:r>
    </w:p>
    <w:p>
      <w:pPr>
        <w:pStyle w:val="Heading2"/>
      </w:pPr>
      <w:r>
        <w:t>Private Celebrations</w:t>
      </w:r>
    </w:p>
    <w:p>
      <w:pPr>
        <w:jc w:val="both"/>
      </w:pPr>
      <w:r>
        <w:t>Birthdays, anniversaries and family functions.</w:t>
      </w:r>
    </w:p>
    <w:p>
      <w:pPr>
        <w:pStyle w:val="ListBullet"/>
      </w:pPr>
      <w:r>
        <w:t>Venue styling</w:t>
      </w:r>
    </w:p>
    <w:p>
      <w:pPr>
        <w:pStyle w:val="ListBullet"/>
      </w:pPr>
      <w:r>
        <w:t>Entertainment</w:t>
      </w:r>
    </w:p>
    <w:p>
      <w:pPr>
        <w:pStyle w:val="ListBullet"/>
      </w:pPr>
      <w:r>
        <w:t>Catering coordination</w:t>
      </w:r>
    </w:p>
    <w:p>
      <w:pPr>
        <w:pStyle w:val="Heading2"/>
      </w:pPr>
      <w:r>
        <w:t>Cultural Experiences</w:t>
      </w:r>
    </w:p>
    <w:p>
      <w:pPr>
        <w:jc w:val="both"/>
      </w:pPr>
      <w:r>
        <w:t>Folk performances, heritage dinners and curated tours for guests.</w:t>
      </w:r>
    </w:p>
    <w:p>
      <w:pPr>
        <w:pStyle w:val="ListBullet"/>
      </w:pPr>
      <w:r>
        <w:t>Artist curation</w:t>
      </w:r>
    </w:p>
    <w:p>
      <w:pPr>
        <w:pStyle w:val="ListBullet"/>
      </w:pPr>
      <w:r>
        <w:t>Heritage venues</w:t>
      </w:r>
    </w:p>
    <w:p>
      <w:pPr>
        <w:pStyle w:val="ListBullet"/>
      </w:pPr>
      <w:r>
        <w:t>Guest experiences</w:t>
      </w:r>
    </w:p>
    <w:p>
      <w:pPr>
        <w:pStyle w:val="Heading1"/>
      </w:pPr>
      <w:r>
        <w:t>04  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Industry</w:t>
            </w:r>
          </w:p>
        </w:tc>
        <w:tc>
          <w:tcPr>
            <w:tcW w:type="dxa" w:w="6722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we help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Families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Weddings and celebrations</w:t>
            </w:r>
          </w:p>
        </w:tc>
      </w:tr>
      <w:tr>
        <w:tc>
          <w:tcPr>
            <w:tcW w:type="dxa" w:w="268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Corporates</w:t>
            </w:r>
          </w:p>
        </w:tc>
        <w:tc>
          <w:tcPr>
            <w:tcW w:type="dxa" w:w="672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Conferences and offsites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Hospitality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Hotel partnerships</w:t>
            </w:r>
          </w:p>
        </w:tc>
      </w:tr>
      <w:tr>
        <w:tc>
          <w:tcPr>
            <w:tcW w:type="dxa" w:w="268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Institutions</w:t>
            </w:r>
          </w:p>
        </w:tc>
        <w:tc>
          <w:tcPr>
            <w:tcW w:type="dxa" w:w="672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Convocations and festivals</w:t>
            </w:r>
          </w:p>
        </w:tc>
      </w:tr>
    </w:tbl>
    <w:p>
      <w:pPr>
        <w:spacing w:after="80"/>
      </w:pPr>
    </w:p>
    <w:p>
      <w:pPr>
        <w:pStyle w:val="Heading1"/>
      </w:pPr>
      <w:r>
        <w:t>05  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806"/>
        <w:gridCol w:w="2353"/>
        <w:gridCol w:w="6252"/>
      </w:tblGrid>
      <w:tr>
        <w:trPr>
          <w:tblHeader/>
        </w:trPr>
        <w:tc>
          <w:tcPr>
            <w:tcW w:type="dxa" w:w="807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2353"/>
            <w:vAlign w:val="center"/>
            <w:shd w:val="clear" w:color="auto" w:fill="1665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6252"/>
            <w:vAlign w:val="center"/>
            <w:shd w:val="clear" w:color="auto" w:fill="1665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What happens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Consult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Understand the occasion, guests and budget</w:t>
            </w:r>
          </w:p>
        </w:tc>
      </w:tr>
      <w:tr>
        <w:tc>
          <w:tcPr>
            <w:tcW w:type="dxa" w:w="807"/>
            <w:vAlign w:val="center"/>
            <w:shd w:val="clear" w:color="auto" w:fill="E8F0E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2353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Concept</w:t>
            </w:r>
          </w:p>
        </w:tc>
        <w:tc>
          <w:tcPr>
            <w:tcW w:type="dxa" w:w="6252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Theme, venue and experience design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Plan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Vendors, timelines and run-of-show</w:t>
            </w:r>
          </w:p>
        </w:tc>
      </w:tr>
      <w:tr>
        <w:tc>
          <w:tcPr>
            <w:tcW w:type="dxa" w:w="807"/>
            <w:vAlign w:val="center"/>
            <w:shd w:val="clear" w:color="auto" w:fill="E8F0E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2353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Execute</w:t>
            </w:r>
          </w:p>
        </w:tc>
        <w:tc>
          <w:tcPr>
            <w:tcW w:type="dxa" w:w="6252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On-site team and production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Review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Feedback and closure</w:t>
            </w:r>
          </w:p>
        </w:tc>
      </w:tr>
    </w:tbl>
    <w:p>
      <w:pPr>
        <w:spacing w:after="80"/>
      </w:pPr>
    </w:p>
    <w:p>
      <w:pPr>
        <w:pStyle w:val="Heading1"/>
      </w:pPr>
      <w:r>
        <w:t>06  Why Choose Us</w:t>
      </w:r>
    </w:p>
    <w:p>
      <w:pPr>
        <w:pStyle w:val="ListBullet"/>
      </w:pPr>
      <w:r>
        <w:t>Dedicated planner for every event</w:t>
      </w:r>
    </w:p>
    <w:p>
      <w:pPr>
        <w:pStyle w:val="ListBullet"/>
      </w:pPr>
      <w:r>
        <w:t>Trusted vendor network</w:t>
      </w:r>
    </w:p>
    <w:p>
      <w:pPr>
        <w:pStyle w:val="ListBullet"/>
      </w:pPr>
      <w:r>
        <w:t>Detailed run-of-show for every hour</w:t>
      </w:r>
    </w:p>
    <w:p>
      <w:pPr>
        <w:pStyle w:val="ListBullet"/>
      </w:pPr>
      <w:r>
        <w:t>Transparent budget tracking</w:t>
      </w:r>
    </w:p>
    <w:p>
      <w:pPr>
        <w:pStyle w:val="Heading1"/>
      </w:pPr>
      <w:r>
        <w:t>07  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71"/>
        <w:gridCol w:w="2596"/>
        <w:gridCol w:w="4543"/>
      </w:tblGrid>
      <w:tr>
        <w:trPr>
          <w:tblHeader/>
        </w:trPr>
        <w:tc>
          <w:tcPr>
            <w:tcW w:type="dxa" w:w="2272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596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Designation</w:t>
            </w:r>
          </w:p>
        </w:tc>
        <w:tc>
          <w:tcPr>
            <w:tcW w:type="dxa" w:w="4543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Experience</w:t>
            </w:r>
          </w:p>
        </w:tc>
      </w:tr>
      <w:tr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Nisha Rathore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Founder &amp; Creative Director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Wedding and experience design</w:t>
            </w:r>
          </w:p>
        </w:tc>
      </w:tr>
      <w:tr>
        <w:tc>
          <w:tcPr>
            <w:tcW w:type="dxa" w:w="227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Karan Singh</w:t>
            </w:r>
          </w:p>
        </w:tc>
        <w:tc>
          <w:tcPr>
            <w:tcW w:type="dxa" w:w="2596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Head of Production</w:t>
            </w:r>
          </w:p>
        </w:tc>
        <w:tc>
          <w:tcPr>
            <w:tcW w:type="dxa" w:w="4543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Stage, sound and lighting</w:t>
            </w:r>
          </w:p>
        </w:tc>
      </w:tr>
      <w:tr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Pooja Agarwal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Corporate Events Lead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Conferences and launches</w:t>
            </w:r>
          </w:p>
        </w:tc>
      </w:tr>
      <w:tr>
        <w:tc>
          <w:tcPr>
            <w:tcW w:type="dxa" w:w="227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Faisal Ali</w:t>
            </w:r>
          </w:p>
        </w:tc>
        <w:tc>
          <w:tcPr>
            <w:tcW w:type="dxa" w:w="2596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Hospitality Manager</w:t>
            </w:r>
          </w:p>
        </w:tc>
        <w:tc>
          <w:tcPr>
            <w:tcW w:type="dxa" w:w="4543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Guests and logistics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08  Selected Projects</w:t>
      </w:r>
    </w:p>
    <w:p>
      <w:pPr>
        <w:pStyle w:val="Heading2"/>
      </w:pPr>
      <w:r>
        <w:t>Palace courtyard wedding</w:t>
      </w:r>
    </w:p>
    <w:p>
      <w:r>
        <w:rPr>
          <w:b/>
          <w:color w:val="166534"/>
        </w:rPr>
        <w:t xml:space="preserve">Client: </w:t>
      </w:r>
      <w:r>
        <w:t>A family from Delhi</w:t>
      </w:r>
    </w:p>
    <w:p>
      <w:pPr>
        <w:jc w:val="both"/>
      </w:pPr>
      <w:r>
        <w:t>Three-day destination wedding with 300 guests and heritage décor.</w:t>
      </w:r>
    </w:p>
    <w:p>
      <w:pPr>
        <w:pStyle w:val="Heading2"/>
      </w:pPr>
      <w:r>
        <w:t>Annual sales conference</w:t>
      </w:r>
    </w:p>
    <w:p>
      <w:r>
        <w:rPr>
          <w:b/>
          <w:color w:val="166534"/>
        </w:rPr>
        <w:t xml:space="preserve">Client: </w:t>
      </w:r>
      <w:r>
        <w:t>A consumer goods company</w:t>
      </w:r>
    </w:p>
    <w:p>
      <w:pPr>
        <w:jc w:val="both"/>
      </w:pPr>
      <w:r>
        <w:t>Two-day conference with awards night.</w:t>
      </w:r>
    </w:p>
    <w:p>
      <w:pPr>
        <w:pStyle w:val="Heading2"/>
      </w:pPr>
      <w:r>
        <w:t>Silver jubilee celebration</w:t>
      </w:r>
    </w:p>
    <w:p>
      <w:r>
        <w:rPr>
          <w:b/>
          <w:color w:val="166534"/>
        </w:rPr>
        <w:t xml:space="preserve">Client: </w:t>
      </w:r>
      <w:r>
        <w:t>A family</w:t>
      </w:r>
    </w:p>
    <w:p>
      <w:pPr>
        <w:jc w:val="both"/>
      </w:pPr>
      <w:r>
        <w:t>Evening celebration with folk performances.</w:t>
      </w:r>
    </w:p>
    <w:p>
      <w:pPr>
        <w:pStyle w:val="Heading1"/>
      </w:pPr>
      <w:r>
        <w:t>09  Infrastructure and Capabilities</w:t>
      </w:r>
    </w:p>
    <w:p>
      <w:pPr>
        <w:pStyle w:val="ListBullet"/>
      </w:pPr>
      <w:r>
        <w:t>In-house décor warehouse</w:t>
      </w:r>
    </w:p>
    <w:p>
      <w:pPr>
        <w:pStyle w:val="ListBullet"/>
      </w:pPr>
      <w:r>
        <w:t>Sound and lighting partners</w:t>
      </w:r>
    </w:p>
    <w:p>
      <w:pPr>
        <w:pStyle w:val="ListBullet"/>
      </w:pPr>
      <w:r>
        <w:t>Guest management software</w:t>
      </w:r>
    </w:p>
    <w:p>
      <w:pPr>
        <w:pStyle w:val="Heading1"/>
      </w:pPr>
      <w:r>
        <w:t>10  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050"/>
        <w:gridCol w:w="3361"/>
      </w:tblGrid>
      <w:tr>
        <w:trPr>
          <w:tblHeader/>
        </w:trPr>
        <w:tc>
          <w:tcPr>
            <w:tcW w:type="dxa" w:w="6050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Certification / membership</w:t>
            </w:r>
          </w:p>
        </w:tc>
        <w:tc>
          <w:tcPr>
            <w:tcW w:type="dxa" w:w="3361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Registered event management company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050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Member, event managers association</w:t>
            </w:r>
          </w:p>
        </w:tc>
        <w:tc>
          <w:tcPr>
            <w:tcW w:type="dxa" w:w="3361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Venue safety partnerships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11  Corporate Social Responsibility</w:t>
      </w:r>
    </w:p>
    <w:p>
      <w:pPr>
        <w:jc w:val="both"/>
      </w:pPr>
      <w:r>
        <w:t>We support local artisans and folk artists by featuring them in our events.</w:t>
      </w:r>
    </w:p>
    <w:p>
      <w:pPr>
        <w:pStyle w:val="Heading1"/>
      </w:pPr>
      <w:r>
        <w:t>12  Contact Us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Your Event House, MI Road, Jaipur 302001</w:t>
            </w:r>
          </w:p>
        </w:tc>
      </w:tr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F0EB"/>
            <w:tcBorders>
              <w:left w:val="single" w:sz="36" w:space="0" w:color="166534"/>
            </w:tcBorders>
          </w:tcPr>
          <w:p>
            <w:pPr>
              <w:spacing w:after="60"/>
            </w:pPr>
            <w:r>
              <w:rPr>
                <w:b/>
                <w:color w:val="166534"/>
              </w:rPr>
              <w:t>Let’s work together</w:t>
            </w:r>
          </w:p>
          <w:p>
            <w:pPr>
              <w:spacing w:after="0"/>
            </w:pPr>
            <w:r>
              <w:t>Tell us about your celebration — we will create a plan that fits your dreams and your budget.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Utsav Events &amp; Experiences · Company Profile</w:t>
    </w:r>
    <w:r>
      <w:rPr>
        <w:color w:val="74777A"/>
        <w:sz w:val="17"/>
      </w:rPr>
      <w:tab/>
      <w:t>Jaipur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Manrope" w:hAnsi="Manrope" w:cs="Manrope" w:eastAsia="Manrope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F2328"/>
      </w:pBdr>
    </w:pPr>
    <w:rPr>
      <w:rFonts w:ascii="Fraunces" w:hAnsi="Fraunces" w:cs="Fraunces" w:eastAsia="Fraunces"/>
      <w:b/>
      <w:bCs/>
      <w:i w:val="0"/>
      <w:color w:val="1F2328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Fraunces" w:hAnsi="Fraunces" w:cs="Fraunces" w:eastAsia="Fraunces"/>
      <w:b/>
      <w:bCs/>
      <w:i w:val="0"/>
      <w:color w:val="1F2328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Fraunces" w:hAnsi="Fraunces" w:cs="Fraunces" w:eastAsia="Fraunces"/>
      <w:b/>
      <w:bCs/>
      <w:i w:val="0"/>
      <w:color w:val="1F2328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Fraunces" w:hAnsi="Fraunces" w:cs="Fraunces" w:eastAsia="Fraunces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Manrope" w:hAnsi="Manrope" w:cs="Manrope" w:eastAsia="Manrope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Fraunces" w:hAnsi="Fraunces" w:cs="Fraunces" w:eastAsia="Fraunces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Manrope" w:hAnsi="Manrope" w:cs="Manrope" w:eastAsia="Manrope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Fraunces" w:hAnsi="Fraunces" w:cs="Fraunces" w:eastAsia="Fraunces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Manrope" w:hAnsi="Manrope" w:cs="Manrope" w:eastAsia="Manrope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