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11907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0" w:type="dxa"/>
          <w:left w:w="0" w:type="dxa"/>
          <w:bottom w:w="500" w:type="dxa"/>
          <w:right w:w="0" w:type="dxa"/>
        </w:tblCellMar>
      </w:tblPr>
      <w:tblGrid>
        <w:gridCol w:w="11907"/>
      </w:tblGrid>
      <w:tr>
        <w:trPr>
          <w:trHeight w:val="11055" w:hRule="exact"/>
        </w:trPr>
        <w:tc>
          <w:tcPr>
            <w:tcW w:type="dxa" w:w="11906"/>
            <w:shd w:val="clear" w:color="auto" w:fill="1F4E8C"/>
            <w:vAlign w:val="bottom"/>
          </w:tcPr>
          <w:p>
            <w:pPr>
              <w:spacing w:after="3000"/>
              <w:ind w:left="1304" w:right="1304"/>
            </w:pPr>
            <w:r>
              <w:rPr>
                <w:b/>
                <w:i w:val="0"/>
                <w:color w:val="FFFFFF"/>
                <w:sz w:val="18"/>
                <w:spacing w:val="60"/>
              </w:rPr>
              <w:t>MORPHIQ GUIDES</w:t>
            </w:r>
          </w:p>
          <w:p>
            <w:pPr>
              <w:spacing w:after="200"/>
              <w:ind w:left="1304" w:right="1304"/>
            </w:pPr>
            <w:r>
              <w:rPr>
                <w:b/>
                <w:i w:val="0"/>
                <w:caps/>
                <w:color w:val="FFFFFF"/>
                <w:sz w:val="22"/>
                <w:spacing w:val="40"/>
              </w:rPr>
              <w:t>Workbook · Communication</w:t>
            </w:r>
          </w:p>
          <w:p>
            <w:pPr>
              <w:pStyle w:val="Title"/>
              <w:ind w:left="1304" w:right="1304"/>
            </w:pPr>
            <w:r>
              <w:rPr>
                <w:color w:val="FFFFFF"/>
                <w:sz w:val="96"/>
              </w:rPr>
              <w:t>Speak with Confidence</w:t>
            </w:r>
          </w:p>
          <w:p>
            <w:pPr>
              <w:ind w:left="1304" w:right="1304"/>
            </w:pPr>
            <w:r>
              <w:rPr>
                <w:b w:val="0"/>
                <w:i w:val="0"/>
                <w:color w:val="FFFFFF"/>
                <w:sz w:val="28"/>
              </w:rPr>
              <w:t>A Public Speaking Workbook for Students and Professionals</w:t>
            </w:r>
          </w:p>
        </w:tc>
      </w:tr>
      <w:tr>
        <w:trPr>
          <w:trHeight w:val="5329" w:hRule="exact"/>
        </w:trPr>
        <w:tc>
          <w:tcPr>
            <w:tcW w:type="dxa" w:w="11906"/>
            <w:vAlign w:val="top"/>
          </w:tcPr>
          <w:p>
            <w:pPr>
              <w:spacing w:after="160"/>
              <w:ind w:left="1304" w:right="1304"/>
            </w:pP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74777A"/>
                <w:sz w:val="17"/>
                <w:spacing w:val="30"/>
              </w:rPr>
              <w:t xml:space="preserve">WRITTEN BY   </w:t>
            </w:r>
            <w:r>
              <w:rPr>
                <w:b/>
                <w:i w:val="0"/>
                <w:color w:val="1F2328"/>
                <w:sz w:val="22"/>
              </w:rPr>
              <w:t>Your Name</w:t>
            </w: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74777A"/>
                <w:sz w:val="17"/>
                <w:spacing w:val="30"/>
              </w:rPr>
              <w:t xml:space="preserve">EDITION   </w:t>
            </w:r>
            <w:r>
              <w:rPr>
                <w:b/>
                <w:i w:val="0"/>
                <w:color w:val="1F2328"/>
                <w:sz w:val="22"/>
              </w:rPr>
              <w:t>First edition, 2026</w:t>
            </w: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74777A"/>
                <w:sz w:val="17"/>
                <w:spacing w:val="30"/>
              </w:rPr>
              <w:t xml:space="preserve">FORMAT   </w:t>
            </w:r>
            <w:r>
              <w:rPr>
                <w:b/>
                <w:i w:val="0"/>
                <w:color w:val="1F2328"/>
                <w:sz w:val="22"/>
              </w:rPr>
              <w:t>Editable guide</w:t>
            </w:r>
          </w:p>
        </w:tc>
      </w:tr>
    </w:tbl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after="4000"/>
      </w:pPr>
    </w:p>
    <w:p>
      <w:pPr>
        <w:spacing w:after="40"/>
      </w:pPr>
      <w:r>
        <w:rPr>
          <w:b/>
        </w:rPr>
        <w:t>Speak with Confidence</w:t>
      </w:r>
    </w:p>
    <w:p>
      <w:pPr>
        <w:spacing w:after="240"/>
      </w:pPr>
      <w:r>
        <w:rPr>
          <w:color w:val="74777A"/>
        </w:rPr>
        <w:t>A Public Speaking Workbook for Students and Professionals</w:t>
      </w:r>
    </w:p>
    <w:p>
      <w:pPr>
        <w:spacing w:after="120"/>
      </w:pPr>
      <w:r>
        <w:rPr>
          <w:color w:val="74777A"/>
          <w:sz w:val="18"/>
        </w:rPr>
        <w:t>© 2026 Your Name. All rights reserved. This template is provided by Morphiq; replace the author and publisher details with your own.</w:t>
      </w:r>
    </w:p>
    <w:p>
      <w:pPr>
        <w:spacing w:after="120"/>
      </w:pPr>
      <w:r>
        <w:rPr>
          <w:color w:val="74777A"/>
          <w:sz w:val="18"/>
        </w:rPr>
        <w:t>This book is for general information and education. It is not professional, financial, medical or legal advice; consult a qualified professional for decisions about your own situation.</w:t>
      </w:r>
    </w:p>
    <w:p>
      <w:pPr>
        <w:spacing w:after="120"/>
      </w:pPr>
      <w:r>
        <w:rPr>
          <w:color w:val="74777A"/>
          <w:sz w:val="18"/>
        </w:rPr>
        <w:t>Examples, names, organisations and figures in this book are illustrative and should not be read as statistics.</w:t>
      </w:r>
    </w:p>
    <w:p>
      <w:pPr>
        <w:spacing w:after="120"/>
      </w:pPr>
      <w:r>
        <w:rPr>
          <w:color w:val="74777A"/>
          <w:sz w:val="18"/>
        </w:rPr>
        <w:t>Edition: First · Published by Morphiq Guides</w:t>
      </w: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How to Use This Book</w:t>
      </w:r>
    </w:p>
    <w:p>
      <w:pPr>
        <w:jc w:val="both"/>
      </w:pPr>
      <w:r>
        <w:t>This workbook combines short lessons with practical exercises. Practise aloud — reading alone will not build the skill.</w:t>
      </w:r>
    </w:p>
    <w:p>
      <w:pPr>
        <w:jc w:val="both"/>
      </w:pPr>
      <w:r>
        <w:t>Use the practice log pages to track progress.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F4E8C"/>
          <w:left w:val="single" w:sz="8" w:space="0" w:color="1F4E8C"/>
          <w:bottom w:val="single" w:sz="8" w:space="0" w:color="1F4E8C"/>
          <w:right w:val="single" w:sz="8" w:space="0" w:color="1F4E8C"/>
          <w:insideH w:val="single" w:sz="8" w:space="0" w:color="1F4E8C"/>
          <w:insideV w:val="single" w:sz="8" w:space="0" w:color="1F4E8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FFFFFF"/>
          </w:tcPr>
          <w:p>
            <w:pPr>
              <w:spacing w:after="60"/>
            </w:pPr>
            <w:r>
              <w:rPr>
                <w:b/>
                <w:color w:val="1F4E8C"/>
              </w:rPr>
              <w:t>Inside every chapter</w:t>
            </w:r>
          </w:p>
          <w:p>
            <w:pPr>
              <w:spacing w:after="40"/>
            </w:pPr>
            <w:r>
              <w:t>•  A short list of what you will learn</w:t>
            </w:r>
          </w:p>
          <w:p>
            <w:pPr>
              <w:spacing w:after="40"/>
            </w:pPr>
            <w:r>
              <w:t>•  Clear explanations with examples and tables</w:t>
            </w:r>
          </w:p>
          <w:p>
            <w:pPr>
              <w:spacing w:after="40"/>
            </w:pPr>
            <w:r>
              <w:t>•  “Try this” activities to apply ideas straight away</w:t>
            </w:r>
          </w:p>
          <w:p>
            <w:pPr>
              <w:spacing w:after="40"/>
            </w:pPr>
            <w:r>
              <w:t>•  Key takeaways and practice questions</w:t>
            </w:r>
          </w:p>
        </w:tc>
      </w:tr>
    </w:tbl>
    <w:p>
      <w:pPr>
        <w:spacing w:after="80"/>
      </w:pP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Why Public Speaking Matters</w:t>
      </w:r>
      <w:r>
        <w:tab/>
        <w:t>5</w:t>
      </w:r>
    </w:p>
    <w:p>
      <w:pPr>
        <w:pStyle w:val="TOC2"/>
      </w:pPr>
      <w:r>
        <w:t>Everyday Speaking</w:t>
      </w:r>
      <w:r>
        <w:tab/>
        <w:t>5</w:t>
      </w:r>
    </w:p>
    <w:p>
      <w:pPr>
        <w:pStyle w:val="TOC2"/>
      </w:pPr>
      <w:r>
        <w:t>Nervousness Is Normal</w:t>
      </w:r>
      <w:r>
        <w:tab/>
        <w:t>5</w:t>
      </w:r>
    </w:p>
    <w:p>
      <w:pPr>
        <w:pStyle w:val="TOC2"/>
      </w:pPr>
      <w:r>
        <w:t>Practice Builds Skill</w:t>
      </w:r>
      <w:r>
        <w:tab/>
        <w:t>5</w:t>
      </w:r>
    </w:p>
    <w:p>
      <w:pPr>
        <w:pStyle w:val="TOC1"/>
      </w:pPr>
      <w:r>
        <w:t>02  Planning Your Message</w:t>
      </w:r>
      <w:r>
        <w:tab/>
        <w:t>6</w:t>
      </w:r>
    </w:p>
    <w:p>
      <w:pPr>
        <w:pStyle w:val="TOC2"/>
      </w:pPr>
      <w:r>
        <w:t>Audience First</w:t>
      </w:r>
      <w:r>
        <w:tab/>
        <w:t>6</w:t>
      </w:r>
    </w:p>
    <w:p>
      <w:pPr>
        <w:pStyle w:val="TOC2"/>
      </w:pPr>
      <w:r>
        <w:t>One Main Message</w:t>
      </w:r>
      <w:r>
        <w:tab/>
        <w:t>6</w:t>
      </w:r>
    </w:p>
    <w:p>
      <w:pPr>
        <w:pStyle w:val="TOC2"/>
      </w:pPr>
      <w:r>
        <w:t>Simple Structure</w:t>
      </w:r>
      <w:r>
        <w:tab/>
        <w:t>6</w:t>
      </w:r>
    </w:p>
    <w:p>
      <w:pPr>
        <w:pStyle w:val="TOC1"/>
      </w:pPr>
      <w:r>
        <w:t>03  Powerful Openings and Closings</w:t>
      </w:r>
      <w:r>
        <w:tab/>
        <w:t>7</w:t>
      </w:r>
    </w:p>
    <w:p>
      <w:pPr>
        <w:pStyle w:val="TOC2"/>
      </w:pPr>
      <w:r>
        <w:t>Open Strong</w:t>
      </w:r>
      <w:r>
        <w:tab/>
        <w:t>7</w:t>
      </w:r>
    </w:p>
    <w:p>
      <w:pPr>
        <w:pStyle w:val="TOC2"/>
      </w:pPr>
      <w:r>
        <w:t>Close Clearly</w:t>
      </w:r>
      <w:r>
        <w:tab/>
        <w:t>7</w:t>
      </w:r>
    </w:p>
    <w:p>
      <w:pPr>
        <w:pStyle w:val="TOC2"/>
      </w:pPr>
      <w:r>
        <w:t>Avoid Weak Starts</w:t>
      </w:r>
      <w:r>
        <w:tab/>
        <w:t>7</w:t>
      </w:r>
    </w:p>
    <w:p>
      <w:pPr>
        <w:pStyle w:val="TOC1"/>
      </w:pPr>
      <w:r>
        <w:t>04  Glossary and Resources</w:t>
      </w:r>
      <w:r>
        <w:tab/>
        <w:t>8</w:t>
      </w:r>
    </w:p>
    <w:p>
      <w:pPr>
        <w:pStyle w:val="TOC2"/>
      </w:pPr>
      <w:r>
        <w:t>Glossary</w:t>
      </w:r>
      <w:r>
        <w:tab/>
        <w:t>8</w:t>
      </w:r>
    </w:p>
    <w:p>
      <w:pPr>
        <w:pStyle w:val="TOC2"/>
      </w:pPr>
      <w:r>
        <w:t>Further Reading and Resources</w:t>
      </w:r>
      <w:r>
        <w:tab/>
        <w:t>8</w:t>
      </w:r>
    </w:p>
    <w:p>
      <w:pPr>
        <w:pStyle w:val="TOC2"/>
      </w:pPr>
      <w:r>
        <w:t>About the Author</w:t>
      </w:r>
      <w:r>
        <w:tab/>
        <w:t>8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Why Public Speaking Matters</w:t>
      </w:r>
    </w:p>
    <w:p>
      <w:pPr>
        <w:jc w:val="both"/>
      </w:pPr>
      <w:r>
        <w:t>From class presentations to job interviews, the ability to speak clearly opens doors.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F4E8C"/>
          <w:left w:val="single" w:sz="8" w:space="0" w:color="1F4E8C"/>
          <w:bottom w:val="single" w:sz="8" w:space="0" w:color="1F4E8C"/>
          <w:right w:val="single" w:sz="8" w:space="0" w:color="1F4E8C"/>
          <w:insideH w:val="single" w:sz="8" w:space="0" w:color="1F4E8C"/>
          <w:insideV w:val="single" w:sz="8" w:space="0" w:color="1F4E8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9EDF4"/>
          </w:tcPr>
          <w:p>
            <w:pPr>
              <w:spacing w:after="60"/>
            </w:pPr>
            <w:r>
              <w:rPr>
                <w:b/>
                <w:color w:val="1F4E8C"/>
              </w:rPr>
              <w:t>In this chapter you will learn</w:t>
            </w:r>
          </w:p>
          <w:p>
            <w:pPr>
              <w:spacing w:after="40"/>
            </w:pPr>
            <w:r>
              <w:t>•  Where speaking skills matter</w:t>
            </w:r>
          </w:p>
          <w:p>
            <w:pPr>
              <w:spacing w:after="40"/>
            </w:pPr>
            <w:r>
              <w:t>•  Why nervousness is normal</w:t>
            </w:r>
          </w:p>
          <w:p>
            <w:pPr>
              <w:spacing w:after="40"/>
            </w:pPr>
            <w:r>
              <w:t>•  How skills improve with practice</w:t>
            </w:r>
          </w:p>
        </w:tc>
      </w:tr>
    </w:tbl>
    <w:p>
      <w:pPr>
        <w:spacing w:after="80"/>
      </w:pPr>
    </w:p>
    <w:p>
      <w:pPr>
        <w:pStyle w:val="Heading2"/>
      </w:pPr>
      <w:r>
        <w:t>Everyday Speaking</w:t>
      </w:r>
    </w:p>
    <w:p>
      <w:pPr>
        <w:jc w:val="both"/>
      </w:pPr>
      <w:r>
        <w:t>Presentations, meetings, interviews and even phone calls benefit from clear speaking.</w:t>
      </w:r>
    </w:p>
    <w:p>
      <w:pPr>
        <w:pStyle w:val="Heading2"/>
      </w:pPr>
      <w:r>
        <w:t>Nervousness Is Normal</w:t>
      </w:r>
    </w:p>
    <w:p>
      <w:pPr>
        <w:jc w:val="both"/>
      </w:pPr>
      <w:r>
        <w:t>Most speakers feel nervous; the goal is to manage it, not remove it.</w:t>
      </w:r>
    </w:p>
    <w:p>
      <w:pPr>
        <w:pStyle w:val="Heading2"/>
      </w:pPr>
      <w:r>
        <w:t>Practice Builds Skill</w:t>
      </w:r>
    </w:p>
    <w:p>
      <w:pPr>
        <w:jc w:val="both"/>
      </w:pPr>
      <w:r>
        <w:t>Like any skill, speaking improves with regular practice and feedback.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9EDF4"/>
            <w:tcBorders>
              <w:left w:val="single" w:sz="36" w:space="0" w:color="1F4E8C"/>
            </w:tcBorders>
          </w:tcPr>
          <w:p>
            <w:pPr>
              <w:spacing w:after="60"/>
            </w:pPr>
            <w:r>
              <w:rPr>
                <w:b/>
                <w:color w:val="1F4E8C"/>
              </w:rPr>
              <w:t>Try this</w:t>
            </w:r>
          </w:p>
          <w:p>
            <w:pPr>
              <w:spacing w:after="0"/>
            </w:pPr>
            <w:r>
              <w:t>Record a one-minute introduction of yourself on your phone.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Speaking skills matter everywhere.</w:t>
      </w:r>
    </w:p>
    <w:p>
      <w:pPr>
        <w:pStyle w:val="ListBullet"/>
      </w:pPr>
      <w:r>
        <w:t>Nerves are normal.</w:t>
      </w:r>
    </w:p>
    <w:p>
      <w:pPr>
        <w:pStyle w:val="ListBullet"/>
      </w:pPr>
      <w:r>
        <w:t>Practice works.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When did you last speak in front of others?</w:t>
      </w:r>
    </w:p>
    <w:p>
      <w:pPr>
        <w:pStyle w:val="ListNumber"/>
      </w:pPr>
      <w:r>
        <w:t>What makes you nervous?</w:t>
      </w:r>
    </w:p>
    <w:p>
      <w:pPr>
        <w:pStyle w:val="ListNumber"/>
      </w:pPr>
      <w:r>
        <w:t>Set a speaking goal for this month.</w:t>
      </w:r>
    </w:p>
    <w:p>
      <w:pPr>
        <w:pStyle w:val="Heading1"/>
      </w:pPr>
      <w:r>
        <w:t>02  Planning Your Message</w:t>
      </w:r>
    </w:p>
    <w:p>
      <w:pPr>
        <w:jc w:val="both"/>
      </w:pPr>
      <w:r>
        <w:t>Clear speeches start with clear thinking about audience and purpose.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F4E8C"/>
          <w:left w:val="single" w:sz="8" w:space="0" w:color="1F4E8C"/>
          <w:bottom w:val="single" w:sz="8" w:space="0" w:color="1F4E8C"/>
          <w:right w:val="single" w:sz="8" w:space="0" w:color="1F4E8C"/>
          <w:insideH w:val="single" w:sz="8" w:space="0" w:color="1F4E8C"/>
          <w:insideV w:val="single" w:sz="8" w:space="0" w:color="1F4E8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9EDF4"/>
          </w:tcPr>
          <w:p>
            <w:pPr>
              <w:spacing w:after="60"/>
            </w:pPr>
            <w:r>
              <w:rPr>
                <w:b/>
                <w:color w:val="1F4E8C"/>
              </w:rPr>
              <w:t>In this chapter you will learn</w:t>
            </w:r>
          </w:p>
          <w:p>
            <w:pPr>
              <w:spacing w:after="40"/>
            </w:pPr>
            <w:r>
              <w:t>•  Knowing your audience</w:t>
            </w:r>
          </w:p>
          <w:p>
            <w:pPr>
              <w:spacing w:after="40"/>
            </w:pPr>
            <w:r>
              <w:t>•  Defining one main message</w:t>
            </w:r>
          </w:p>
          <w:p>
            <w:pPr>
              <w:spacing w:after="40"/>
            </w:pPr>
            <w:r>
              <w:t>•  Structuring a talk</w:t>
            </w:r>
          </w:p>
        </w:tc>
      </w:tr>
    </w:tbl>
    <w:p>
      <w:pPr>
        <w:spacing w:after="80"/>
      </w:pPr>
    </w:p>
    <w:p>
      <w:pPr>
        <w:pStyle w:val="Heading2"/>
      </w:pPr>
      <w:r>
        <w:t>Audience First</w:t>
      </w:r>
    </w:p>
    <w:p>
      <w:pPr>
        <w:jc w:val="both"/>
      </w:pPr>
      <w:r>
        <w:t>Ask who they are, what they know and what they need.</w:t>
      </w:r>
    </w:p>
    <w:p>
      <w:pPr>
        <w:pStyle w:val="Heading2"/>
      </w:pPr>
      <w:r>
        <w:t>One Main Message</w:t>
      </w:r>
    </w:p>
    <w:p>
      <w:pPr>
        <w:jc w:val="both"/>
      </w:pPr>
      <w:r>
        <w:t>State your key point in one sentence.</w:t>
      </w:r>
    </w:p>
    <w:p>
      <w:pPr>
        <w:pStyle w:val="Heading2"/>
      </w:pPr>
      <w:r>
        <w:t>Simple Structure</w:t>
      </w:r>
    </w:p>
    <w:p>
      <w:pPr>
        <w:jc w:val="both"/>
      </w:pPr>
      <w:r>
        <w:t>Opening, three main points and a closing that repeats the message.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3"/>
        <w:gridCol w:w="3213"/>
        <w:gridCol w:w="3213"/>
      </w:tblGrid>
      <w:tr>
        <w:trPr>
          <w:tblHeader/>
        </w:trPr>
        <w:tc>
          <w:tcPr>
            <w:tcW w:type="dxa" w:w="3213"/>
            <w:vAlign w:val="center"/>
            <w:shd w:val="clear" w:color="auto" w:fill="1F4E8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Part</w:t>
            </w:r>
          </w:p>
        </w:tc>
        <w:tc>
          <w:tcPr>
            <w:tcW w:type="dxa" w:w="3213"/>
            <w:vAlign w:val="center"/>
            <w:shd w:val="clear" w:color="auto" w:fill="1F4E8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Purpose</w:t>
            </w:r>
          </w:p>
        </w:tc>
        <w:tc>
          <w:tcPr>
            <w:tcW w:type="dxa" w:w="3213"/>
            <w:vAlign w:val="center"/>
            <w:shd w:val="clear" w:color="auto" w:fill="1F4E8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(3-minute talk)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Opening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Hook and main message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30 seconds</w:t>
            </w:r>
          </w:p>
        </w:tc>
      </w:tr>
      <w:tr>
        <w:tc>
          <w:tcPr>
            <w:tcW w:type="dxa" w:w="3213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Point 1</w:t>
            </w:r>
          </w:p>
        </w:tc>
        <w:tc>
          <w:tcPr>
            <w:tcW w:type="dxa" w:w="3213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Explain with an example</w:t>
            </w:r>
          </w:p>
        </w:tc>
        <w:tc>
          <w:tcPr>
            <w:tcW w:type="dxa" w:w="3213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40 seconds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Point 2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Explain with an example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40 seconds</w:t>
            </w:r>
          </w:p>
        </w:tc>
      </w:tr>
      <w:tr>
        <w:tc>
          <w:tcPr>
            <w:tcW w:type="dxa" w:w="3213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Point 3</w:t>
            </w:r>
          </w:p>
        </w:tc>
        <w:tc>
          <w:tcPr>
            <w:tcW w:type="dxa" w:w="3213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Explain with an example</w:t>
            </w:r>
          </w:p>
        </w:tc>
        <w:tc>
          <w:tcPr>
            <w:tcW w:type="dxa" w:w="3213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40 seconds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Closing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Repeat message, call to action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30 seconds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2: A simple talk structure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9EDF4"/>
            <w:tcBorders>
              <w:left w:val="single" w:sz="36" w:space="0" w:color="1F4E8C"/>
            </w:tcBorders>
          </w:tcPr>
          <w:p>
            <w:pPr>
              <w:spacing w:after="60"/>
            </w:pPr>
            <w:r>
              <w:rPr>
                <w:b/>
                <w:color w:val="1F4E8C"/>
              </w:rPr>
              <w:t>Try this</w:t>
            </w:r>
          </w:p>
          <w:p>
            <w:pPr>
              <w:spacing w:after="0"/>
            </w:pPr>
            <w:r>
              <w:t>Outline a three-minute talk on a topic you enjoy.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Know your audience.</w:t>
      </w:r>
    </w:p>
    <w:p>
      <w:pPr>
        <w:pStyle w:val="ListBullet"/>
      </w:pPr>
      <w:r>
        <w:t>Have one main message.</w:t>
      </w:r>
    </w:p>
    <w:p>
      <w:pPr>
        <w:pStyle w:val="ListBullet"/>
      </w:pPr>
      <w:r>
        <w:t>Use a simple structure.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Describe the audience for your next talk.</w:t>
      </w:r>
    </w:p>
    <w:p>
      <w:pPr>
        <w:pStyle w:val="ListNumber"/>
      </w:pPr>
      <w:r>
        <w:t>Write your main message in one sentence.</w:t>
      </w:r>
    </w:p>
    <w:p>
      <w:pPr>
        <w:pStyle w:val="ListNumber"/>
      </w:pPr>
      <w:r>
        <w:t>Outline three main points.</w:t>
      </w:r>
    </w:p>
    <w:p>
      <w:pPr>
        <w:pStyle w:val="Heading1"/>
      </w:pPr>
      <w:r>
        <w:t>03  Powerful Openings and Closings</w:t>
      </w:r>
    </w:p>
    <w:p>
      <w:pPr>
        <w:jc w:val="both"/>
      </w:pPr>
      <w:r>
        <w:t>Audiences remember beginnings and endings most.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F4E8C"/>
          <w:left w:val="single" w:sz="8" w:space="0" w:color="1F4E8C"/>
          <w:bottom w:val="single" w:sz="8" w:space="0" w:color="1F4E8C"/>
          <w:right w:val="single" w:sz="8" w:space="0" w:color="1F4E8C"/>
          <w:insideH w:val="single" w:sz="8" w:space="0" w:color="1F4E8C"/>
          <w:insideV w:val="single" w:sz="8" w:space="0" w:color="1F4E8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9EDF4"/>
          </w:tcPr>
          <w:p>
            <w:pPr>
              <w:spacing w:after="60"/>
            </w:pPr>
            <w:r>
              <w:rPr>
                <w:b/>
                <w:color w:val="1F4E8C"/>
              </w:rPr>
              <w:t>In this chapter you will learn</w:t>
            </w:r>
          </w:p>
          <w:p>
            <w:pPr>
              <w:spacing w:after="40"/>
            </w:pPr>
            <w:r>
              <w:t>•  Opening techniques</w:t>
            </w:r>
          </w:p>
          <w:p>
            <w:pPr>
              <w:spacing w:after="40"/>
            </w:pPr>
            <w:r>
              <w:t>•  Closing techniques</w:t>
            </w:r>
          </w:p>
          <w:p>
            <w:pPr>
              <w:spacing w:after="40"/>
            </w:pPr>
            <w:r>
              <w:t>•  Avoiding weak starts</w:t>
            </w:r>
          </w:p>
        </w:tc>
      </w:tr>
    </w:tbl>
    <w:p>
      <w:pPr>
        <w:spacing w:after="80"/>
      </w:pPr>
    </w:p>
    <w:p>
      <w:pPr>
        <w:pStyle w:val="Heading2"/>
      </w:pPr>
      <w:r>
        <w:t>Open Strong</w:t>
      </w:r>
    </w:p>
    <w:p>
      <w:pPr>
        <w:jc w:val="both"/>
      </w:pPr>
      <w:r>
        <w:t>Start with a question, a short story, a surprising example or a bold statement.</w:t>
      </w:r>
    </w:p>
    <w:p>
      <w:pPr>
        <w:pStyle w:val="Heading2"/>
      </w:pPr>
      <w:r>
        <w:t>Close Clearly</w:t>
      </w:r>
    </w:p>
    <w:p>
      <w:pPr>
        <w:jc w:val="both"/>
      </w:pPr>
      <w:r>
        <w:t>Summarise, repeat your main message and end with a clear call to action.</w:t>
      </w:r>
    </w:p>
    <w:p>
      <w:pPr>
        <w:pStyle w:val="Heading2"/>
      </w:pPr>
      <w:r>
        <w:t>Avoid Weak Starts</w:t>
      </w:r>
    </w:p>
    <w:p>
      <w:pPr>
        <w:jc w:val="both"/>
      </w:pPr>
      <w:r>
        <w:t>Avoid apologising or saying “I’m not very good at this”.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9EDF4"/>
            <w:tcBorders>
              <w:left w:val="single" w:sz="36" w:space="0" w:color="1F4E8C"/>
            </w:tcBorders>
          </w:tcPr>
          <w:p>
            <w:pPr>
              <w:spacing w:after="60"/>
            </w:pPr>
            <w:r>
              <w:rPr>
                <w:b/>
                <w:color w:val="1F4E8C"/>
              </w:rPr>
              <w:t>Try this</w:t>
            </w:r>
          </w:p>
          <w:p>
            <w:pPr>
              <w:spacing w:after="0"/>
            </w:pPr>
            <w:r>
              <w:t>Practise your opening line ten times aloud.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Hook the audience early.</w:t>
      </w:r>
    </w:p>
    <w:p>
      <w:pPr>
        <w:pStyle w:val="ListBullet"/>
      </w:pPr>
      <w:r>
        <w:t>End with a clear message.</w:t>
      </w:r>
    </w:p>
    <w:p>
      <w:pPr>
        <w:pStyle w:val="ListBullet"/>
      </w:pPr>
      <w:r>
        <w:t>Skip apologies.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Write three possible openings for your talk.</w:t>
      </w:r>
    </w:p>
    <w:p>
      <w:pPr>
        <w:pStyle w:val="ListNumber"/>
      </w:pPr>
      <w:r>
        <w:t>Write a closing line.</w:t>
      </w:r>
    </w:p>
    <w:p>
      <w:pPr>
        <w:pStyle w:val="ListNumber"/>
      </w:pPr>
      <w:r>
        <w:t>Which opening feels most natural?</w:t>
      </w:r>
    </w:p>
    <w:p>
      <w:pPr>
        <w:pStyle w:val="Heading1"/>
      </w:pPr>
      <w:r>
        <w:t>04  Glossary and Resources</w:t>
      </w:r>
    </w:p>
    <w:p>
      <w:pPr>
        <w:pStyle w:val="Heading2"/>
      </w:pPr>
      <w:r>
        <w:t>Glossary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1F4E8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Term</w:t>
            </w:r>
          </w:p>
        </w:tc>
        <w:tc>
          <w:tcPr>
            <w:tcW w:type="dxa" w:w="6884"/>
            <w:vAlign w:val="center"/>
            <w:shd w:val="clear" w:color="auto" w:fill="1F4E8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Meaning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Hook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An opening that grabs attention</w:t>
            </w:r>
          </w:p>
        </w:tc>
      </w:tr>
      <w:tr>
        <w:tc>
          <w:tcPr>
            <w:tcW w:type="dxa" w:w="2754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Call to action</w:t>
            </w:r>
          </w:p>
        </w:tc>
        <w:tc>
          <w:tcPr>
            <w:tcW w:type="dxa" w:w="6884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What you want the audience to do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Pace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Speed of speaking</w:t>
            </w:r>
          </w:p>
        </w:tc>
      </w:tr>
      <w:tr>
        <w:tc>
          <w:tcPr>
            <w:tcW w:type="dxa" w:w="2754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Filler words</w:t>
            </w:r>
          </w:p>
        </w:tc>
        <w:tc>
          <w:tcPr>
            <w:tcW w:type="dxa" w:w="6884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Words like “um” and “like” that add no meaning</w:t>
            </w:r>
          </w:p>
        </w:tc>
      </w:tr>
    </w:tbl>
    <w:p>
      <w:pPr>
        <w:spacing w:after="80"/>
      </w:pPr>
    </w:p>
    <w:p>
      <w:pPr>
        <w:pStyle w:val="Heading2"/>
      </w:pPr>
      <w:r>
        <w:t>Further Reading and Resources</w:t>
      </w:r>
    </w:p>
    <w:p>
      <w:pPr>
        <w:pStyle w:val="ListBullet"/>
      </w:pPr>
      <w:r>
        <w:t>Toastmasters-style speaking clubs in your area</w:t>
      </w:r>
    </w:p>
    <w:p>
      <w:pPr>
        <w:pStyle w:val="ListBullet"/>
      </w:pPr>
      <w:r>
        <w:t>Recordings of talks you admire</w:t>
      </w:r>
    </w:p>
    <w:p>
      <w:pPr>
        <w:pStyle w:val="ListBullet"/>
      </w:pPr>
      <w:r>
        <w:t>Morphiq presentation templates</w:t>
      </w:r>
    </w:p>
    <w:p>
      <w:pPr>
        <w:pStyle w:val="Heading2"/>
      </w:pPr>
      <w:r>
        <w:t>About the Author</w:t>
      </w:r>
    </w:p>
    <w:p>
      <w:pPr>
        <w:jc w:val="both"/>
      </w:pPr>
      <w:r>
        <w:t>Share your experience with public speaking.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9EDF4"/>
            <w:tcBorders>
              <w:left w:val="single" w:sz="36" w:space="0" w:color="1F4E8C"/>
            </w:tcBorders>
          </w:tcPr>
          <w:p>
            <w:pPr>
              <w:spacing w:after="60"/>
            </w:pPr>
            <w:r>
              <w:rPr>
                <w:b/>
                <w:color w:val="1F4E8C"/>
              </w:rPr>
              <w:t>Your notes</w:t>
            </w:r>
          </w:p>
          <w:p>
            <w:pPr>
              <w:spacing w:after="0"/>
            </w:pPr>
            <w:r>
              <w:t>Use this space to write the three ideas from this book you will act on first, and the date you will start.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4777A"/>
        <w:sz w:val="18"/>
      </w:rPr>
      <w:t xml:space="preserve">—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  <w:r>
      <w:rPr>
        <w:color w:val="74777A"/>
        <w:sz w:val="18"/>
      </w:rPr>
      <w:t xml:space="preserve"> —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ECFD0"/>
      </w:pBdr>
    </w:pPr>
    <w:r/>
    <w:r>
      <w:rPr>
        <w:caps w:val="0"/>
        <w:color w:val="74777A"/>
        <w:sz w:val="17"/>
      </w:rPr>
      <w:t>Speak with Confidence</w:t>
    </w:r>
    <w:r>
      <w:rPr>
        <w:color w:val="74777A"/>
        <w:sz w:val="17"/>
      </w:rPr>
      <w:tab/>
      <w:t>Your Name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Arial" w:hAnsi="Arial" w:cs="Arial" w:eastAsia="Arial"/>
      <w:color w:val="1F2328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outlineLvl w:val="0"/>
    </w:pPr>
    <w:rPr>
      <w:rFonts w:ascii="Arial" w:hAnsi="Arial" w:cs="Arial" w:eastAsia="Arial"/>
      <w:b/>
      <w:bCs/>
      <w:i w:val="0"/>
      <w:color w:val="1F2328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Arial" w:hAnsi="Arial" w:cs="Arial" w:eastAsia="Arial"/>
      <w:b/>
      <w:bCs/>
      <w:i w:val="0"/>
      <w:color w:val="1F4E8C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Arial" w:hAnsi="Arial" w:cs="Arial" w:eastAsia="Arial"/>
      <w:b/>
      <w:bCs/>
      <w:i w:val="0"/>
      <w:color w:val="1F2328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cs="Arial" w:eastAsia="Arial"/>
      <w:b/>
      <w:color w:val="1F2328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Arial" w:hAnsi="Arial" w:cs="Arial" w:eastAsia="Arial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Arial" w:hAnsi="Arial" w:cs="Arial" w:eastAsia="Arial"/>
      <w:i w:val="0"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Arial" w:hAnsi="Arial" w:cs="Arial" w:eastAsia="Arial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Arial" w:hAnsi="Arial" w:cs="Arial" w:eastAsia="Arial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