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F2328"/>
          <w:sz w:val="28"/>
          <w:spacing w:val="20"/>
        </w:rPr>
        <w:t>Your Business School, Noida</w:t>
      </w:r>
    </w:p>
    <w:p>
      <w:pPr>
        <w:jc w:val="center"/>
      </w:pPr>
      <w:r>
        <w:rPr>
          <w:b w:val="0"/>
          <w:i w:val="0"/>
          <w:color w:val="74777A"/>
          <w:sz w:val="22"/>
        </w:rPr>
        <w:t>Department of Human Resource Management</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6D28D9"/>
          <w:left w:val="thinThickThinMediumGap" w:sz="24" w:space="0" w:color="6D28D9"/>
          <w:bottom w:val="thinThickThinMediumGap" w:sz="24" w:space="0" w:color="6D28D9"/>
          <w:right w:val="thinThickThinMediumGap" w:sz="24" w:space="0" w:color="6D28D9"/>
        </w:tblBorders>
      </w:tblPr>
      <w:tblGrid>
        <w:gridCol w:w="1462"/>
      </w:tblGrid>
      <w:tr>
        <w:trPr>
          <w:trHeight w:val="1463" w:hRule="exact"/>
        </w:trPr>
        <w:tc>
          <w:tcPr>
            <w:tcW w:type="dxa" w:w="1463"/>
            <w:shd w:val="clear" w:color="auto" w:fill="F0EAF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6D28D9"/>
                <w:left w:val="single" w:sz="8" w:space="0" w:color="6D28D9"/>
                <w:bottom w:val="single" w:sz="8" w:space="0" w:color="6D28D9"/>
                <w:right w:val="single" w:sz="8" w:space="0" w:color="6D28D9"/>
              </w:tblBorders>
            </w:tblPr>
            <w:tblGrid>
              <w:gridCol w:w="884"/>
            </w:tblGrid>
            <w:tr>
              <w:trPr>
                <w:trHeight w:val="884" w:hRule="exact"/>
              </w:trPr>
              <w:tc>
                <w:tcPr>
                  <w:tcW w:type="dxa" w:w="884"/>
                  <w:shd w:val="clear" w:color="auto" w:fill="DFD0F7"/>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6D28D9"/>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4777A"/>
          <w:sz w:val="24"/>
        </w:rPr>
        <w:t>An Internship Report on</w:t>
      </w:r>
    </w:p>
    <w:p>
      <w:pPr>
        <w:pStyle w:val="Title"/>
        <w:jc w:val="center"/>
      </w:pPr>
      <w:r>
        <w:rPr>
          <w:color w:val="6D28D9"/>
        </w:rPr>
        <w:t>Internship Report</w:t>
      </w:r>
    </w:p>
    <w:p>
      <w:pPr>
        <w:jc w:val="center"/>
      </w:pPr>
      <w:r>
        <w:rPr>
          <w:b w:val="0"/>
          <w:i w:val="0"/>
          <w:color w:val="1F2328"/>
          <w:sz w:val="24"/>
        </w:rPr>
        <w:t>Human Resources Intern at SwiftRoute Logistics</w:t>
      </w:r>
    </w:p>
    <w:p>
      <w:pPr>
        <w:spacing w:after="360"/>
        <w:jc w:val="center"/>
      </w:pPr>
      <w:r>
        <w:rPr>
          <w:b w:val="0"/>
          <w:i w:val="0"/>
          <w:color w:val="74777A"/>
          <w:sz w:val="21"/>
        </w:rPr>
        <w:t>Submitted in partial fulfilment of the requirements for the award of the degree of Master Of Business Administration</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74777A"/>
                <w:sz w:val="16"/>
              </w:rPr>
              <w:t>SUBMITTED BY</w:t>
            </w:r>
          </w:p>
        </w:tc>
        <w:tc>
          <w:tcPr>
            <w:tcW w:type="dxa" w:w="3009"/>
          </w:tcPr>
          <w:p>
            <w:pPr>
              <w:spacing w:after="0"/>
              <w:jc w:val="center"/>
            </w:pPr>
            <w:r>
              <w:rPr>
                <w:b/>
                <w:color w:val="74777A"/>
                <w:sz w:val="16"/>
              </w:rPr>
              <w:t>ORGANISATION</w:t>
            </w:r>
          </w:p>
        </w:tc>
        <w:tc>
          <w:tcPr>
            <w:tcW w:type="dxa" w:w="3009"/>
          </w:tcPr>
          <w:p>
            <w:pPr>
              <w:spacing w:after="0"/>
              <w:jc w:val="center"/>
            </w:pPr>
            <w:r>
              <w:rPr>
                <w:b/>
                <w:color w:val="74777A"/>
                <w:sz w:val="16"/>
              </w:rPr>
              <w:t>FACULTY MENTOR</w:t>
            </w:r>
          </w:p>
        </w:tc>
      </w:tr>
      <w:tr>
        <w:tc>
          <w:tcPr>
            <w:tcW w:type="dxa" w:w="3009"/>
          </w:tcPr>
          <w:p>
            <w:pPr>
              <w:spacing w:after="0"/>
              <w:jc w:val="center"/>
            </w:pPr>
            <w:r>
              <w:rPr>
                <w:color w:val="1F2328"/>
                <w:sz w:val="21"/>
              </w:rPr>
              <w:t>Kritika Sharma</w:t>
              <w:br/>
              <w:t>Roll No. MBA24-HR09</w:t>
            </w:r>
          </w:p>
        </w:tc>
        <w:tc>
          <w:tcPr>
            <w:tcW w:type="dxa" w:w="3009"/>
          </w:tcPr>
          <w:p>
            <w:pPr>
              <w:spacing w:after="0"/>
              <w:jc w:val="center"/>
            </w:pPr>
            <w:r>
              <w:rPr>
                <w:color w:val="1F2328"/>
                <w:sz w:val="21"/>
              </w:rPr>
              <w:t>SwiftRoute Logistics, Gurugram</w:t>
            </w:r>
          </w:p>
        </w:tc>
        <w:tc>
          <w:tcPr>
            <w:tcW w:type="dxa" w:w="3009"/>
          </w:tcPr>
          <w:p>
            <w:pPr>
              <w:spacing w:after="0"/>
              <w:jc w:val="center"/>
            </w:pPr>
            <w:r>
              <w:rPr>
                <w:color w:val="1F2328"/>
                <w:sz w:val="21"/>
              </w:rPr>
              <w:t>Dr. Sameer Khanna</w:t>
            </w:r>
          </w:p>
        </w:tc>
      </w:tr>
    </w:tbl>
    <w:p>
      <w:pPr>
        <w:spacing w:before="320"/>
        <w:jc w:val="center"/>
      </w:pPr>
      <w:r>
        <w:rPr>
          <w:b/>
          <w:i w:val="0"/>
          <w:color w:val="1F2328"/>
          <w:sz w:val="22"/>
        </w:rPr>
        <w:t>Academic Year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6D28D9"/>
          <w:left w:val="thinThickSmallGap" w:sz="18" w:space="0" w:color="6D28D9"/>
          <w:bottom w:val="thinThickSmallGap" w:sz="18" w:space="0" w:color="6D28D9"/>
          <w:right w:val="thinThickSmallGap" w:sz="18" w:space="0" w:color="6D28D9"/>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Roboto" w:hAnsi="Roboto" w:cs="Roboto" w:eastAsia="Roboto"/>
                <w:b/>
                <w:color w:val="6D28D9"/>
                <w:sz w:val="44"/>
              </w:rPr>
              <w:t>INTERNSHIP CERTIFICATE</w:t>
            </w:r>
          </w:p>
          <w:p>
            <w:pPr>
              <w:spacing w:after="240" w:line="360" w:lineRule="auto"/>
              <w:jc w:val="both"/>
            </w:pPr>
            <w:r>
              <w:t>This is to certify that Kritika Sharma, a student of Master Of Business Administration (Human Resource Management) at Your Business School, Noida, has successfully completed an internship with SwiftRoute Logistics, Gurugram, as Human Resources Intern from 2 June 2025 to 25 July 2025.</w:t>
            </w:r>
          </w:p>
          <w:p>
            <w:pPr>
              <w:spacing w:after="240" w:line="360" w:lineRule="auto"/>
              <w:jc w:val="both"/>
            </w:pPr>
            <w:r>
              <w:t>During the internship the student worked with our Human Resources team and contributed to attrition analysis.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513"/>
              <w:gridCol w:w="4513"/>
            </w:tblGrid>
            <w:tr>
              <w:tc>
                <w:tcPr>
                  <w:tcW w:type="dxa" w:w="4513"/>
                </w:tcPr>
                <w:p>
                  <w:pPr>
                    <w:jc w:val="center"/>
                  </w:pPr>
                  <w:r>
                    <w:t>______________________</w:t>
                  </w:r>
                </w:p>
              </w:tc>
              <w:tc>
                <w:tcPr>
                  <w:tcW w:type="dxa" w:w="4513"/>
                </w:tcPr>
                <w:p>
                  <w:pPr>
                    <w:jc w:val="center"/>
                  </w:pPr>
                  <w:r>
                    <w:t>______________________</w:t>
                  </w:r>
                </w:p>
              </w:tc>
            </w:tr>
            <w:tr>
              <w:tc>
                <w:tcPr>
                  <w:tcW w:type="dxa" w:w="4513"/>
                </w:tcPr>
                <w:p>
                  <w:pPr>
                    <w:jc w:val="center"/>
                  </w:pPr>
                  <w:r>
                    <w:rPr>
                      <w:b/>
                    </w:rPr>
                    <w:t>Ms. Nandini Bose</w:t>
                    <w:br/>
                  </w:r>
                  <w:r>
                    <w:rPr>
                      <w:color w:val="74777A"/>
                    </w:rPr>
                    <w:t>HR Business Partner, SwiftRoute Logistics</w:t>
                  </w:r>
                </w:p>
              </w:tc>
              <w:tc>
                <w:tcPr>
                  <w:tcW w:type="dxa" w:w="4513"/>
                </w:tcPr>
                <w:p>
                  <w:pPr>
                    <w:jc w:val="center"/>
                  </w:pPr>
                  <w:r>
                    <w:rPr>
                      <w:b/>
                    </w:rPr>
                    <w:t>HR Department</w:t>
                    <w:br/>
                  </w:r>
                  <w:r>
                    <w:rPr>
                      <w:color w:val="74777A"/>
                    </w:rPr>
                    <w:t>SwiftRoute Logistics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Human Resource Management, Your Business School, Noida, is a record of the work I carried out at SwiftRoute Logistics from 2 June 2025 to 25 July 2025 under the supervision of Ms. Nandini Bose and the guidance of Dr. Sameer Khanna. The report has not been submitted elsewhere for any degree or diploma.</w:t>
      </w:r>
    </w:p>
    <w:p>
      <w:pPr>
        <w:spacing w:before="480"/>
      </w:pPr>
      <w:r>
        <w:t>Place: ________________        Date: ________________</w:t>
      </w:r>
    </w:p>
    <w:p>
      <w:pPr>
        <w:spacing w:before="600"/>
        <w:jc w:val="right"/>
      </w:pPr>
      <w:r>
        <w:rPr>
          <w:b/>
        </w:rPr>
        <w:t>Kritika Sharma</w:t>
      </w:r>
    </w:p>
    <w:p>
      <w:pPr>
        <w:pStyle w:val="Heading1"/>
      </w:pPr>
      <w:r>
        <w:t>Acknowledgement</w:t>
      </w:r>
    </w:p>
    <w:p>
      <w:pPr>
        <w:jc w:val="both"/>
      </w:pPr>
      <w:r>
        <w:t>I am grateful to SwiftRoute Logistics for giving me the opportunity to work as Human Resources Intern and to experience a professional environment first-hand.</w:t>
      </w:r>
    </w:p>
    <w:p>
      <w:pPr>
        <w:jc w:val="both"/>
      </w:pPr>
      <w:r>
        <w:t>I sincerely thank my industry mentor, Ms. Nandini Bose, for patient guidance, regular feedback and for trusting me with real work. I also thank the members of the Human Resources team, who welcomed me and answered my questions.</w:t>
      </w:r>
    </w:p>
    <w:p>
      <w:pPr>
        <w:jc w:val="both"/>
      </w:pPr>
      <w:r>
        <w:t>I am thankful to Dr. Sameer Khanna, my faculty mentor, and to the Head of the Department of Human Resource Management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SwiftRoute Logistics, a logistics company running warehouses and transport for e-commerce and retail clients. During the internship I worked as Human Resources Intern in the Human Resources team. I supported frontline hiring drives, onboarding, an exit-interview analysis and an employee engagement survey.</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CellMar>
          <w:top w:w="60" w:type="dxa"/>
          <w:left w:w="110" w:type="dxa"/>
          <w:bottom w:w="60" w:type="dxa"/>
          <w:right w:w="110" w:type="dxa"/>
        </w:tblCellMar>
      </w:tblPr>
      <w:tblGrid>
        <w:gridCol w:w="2381"/>
        <w:gridCol w:w="6645"/>
      </w:tblGrid>
      <w:tr>
        <w:tc>
          <w:tcPr>
            <w:tcW w:type="dxa" w:w="2381"/>
            <w:shd w:val="clear" w:color="auto" w:fill="F0EAFB"/>
          </w:tcPr>
          <w:p>
            <w:pPr>
              <w:spacing w:after="0"/>
            </w:pPr>
            <w:r>
              <w:rPr>
                <w:b/>
              </w:rPr>
              <w:t>Organisation</w:t>
            </w:r>
          </w:p>
        </w:tc>
        <w:tc>
          <w:tcPr>
            <w:tcW w:type="dxa" w:w="6644"/>
          </w:tcPr>
          <w:p>
            <w:pPr>
              <w:spacing w:after="0"/>
            </w:pPr>
            <w:r>
              <w:t>SwiftRoute Logistics, Gurugram</w:t>
            </w:r>
          </w:p>
        </w:tc>
      </w:tr>
      <w:tr>
        <w:tc>
          <w:tcPr>
            <w:tcW w:type="dxa" w:w="2381"/>
            <w:shd w:val="clear" w:color="auto" w:fill="F0EAFB"/>
          </w:tcPr>
          <w:p>
            <w:pPr>
              <w:spacing w:after="0"/>
            </w:pPr>
            <w:r>
              <w:rPr>
                <w:b/>
              </w:rPr>
              <w:t>Domain</w:t>
            </w:r>
          </w:p>
        </w:tc>
        <w:tc>
          <w:tcPr>
            <w:tcW w:type="dxa" w:w="6644"/>
          </w:tcPr>
          <w:p>
            <w:pPr>
              <w:spacing w:after="0"/>
            </w:pPr>
            <w:r>
              <w:t>Third-party logistics and warehousing</w:t>
            </w:r>
          </w:p>
        </w:tc>
      </w:tr>
      <w:tr>
        <w:tc>
          <w:tcPr>
            <w:tcW w:type="dxa" w:w="2381"/>
            <w:shd w:val="clear" w:color="auto" w:fill="F0EAFB"/>
          </w:tcPr>
          <w:p>
            <w:pPr>
              <w:spacing w:after="0"/>
            </w:pPr>
            <w:r>
              <w:rPr>
                <w:b/>
              </w:rPr>
              <w:t>Role</w:t>
            </w:r>
          </w:p>
        </w:tc>
        <w:tc>
          <w:tcPr>
            <w:tcW w:type="dxa" w:w="6644"/>
          </w:tcPr>
          <w:p>
            <w:pPr>
              <w:spacing w:after="0"/>
            </w:pPr>
            <w:r>
              <w:t>Human Resources Intern</w:t>
            </w:r>
          </w:p>
        </w:tc>
      </w:tr>
      <w:tr>
        <w:tc>
          <w:tcPr>
            <w:tcW w:type="dxa" w:w="2381"/>
            <w:shd w:val="clear" w:color="auto" w:fill="F0EAFB"/>
          </w:tcPr>
          <w:p>
            <w:pPr>
              <w:spacing w:after="0"/>
            </w:pPr>
            <w:r>
              <w:rPr>
                <w:b/>
              </w:rPr>
              <w:t>Department</w:t>
            </w:r>
          </w:p>
        </w:tc>
        <w:tc>
          <w:tcPr>
            <w:tcW w:type="dxa" w:w="6644"/>
          </w:tcPr>
          <w:p>
            <w:pPr>
              <w:spacing w:after="0"/>
            </w:pPr>
            <w:r>
              <w:t>Human Resources</w:t>
            </w:r>
          </w:p>
        </w:tc>
      </w:tr>
      <w:tr>
        <w:tc>
          <w:tcPr>
            <w:tcW w:type="dxa" w:w="2381"/>
            <w:shd w:val="clear" w:color="auto" w:fill="F0EAFB"/>
          </w:tcPr>
          <w:p>
            <w:pPr>
              <w:spacing w:after="0"/>
            </w:pPr>
            <w:r>
              <w:rPr>
                <w:b/>
              </w:rPr>
              <w:t>Duration</w:t>
            </w:r>
          </w:p>
        </w:tc>
        <w:tc>
          <w:tcPr>
            <w:tcW w:type="dxa" w:w="6644"/>
          </w:tcPr>
          <w:p>
            <w:pPr>
              <w:spacing w:after="0"/>
            </w:pPr>
            <w:r>
              <w:t>2 June 2025 – 25 July 2025 (8 weeks)</w:t>
            </w:r>
          </w:p>
        </w:tc>
      </w:tr>
      <w:tr>
        <w:tc>
          <w:tcPr>
            <w:tcW w:type="dxa" w:w="2381"/>
            <w:shd w:val="clear" w:color="auto" w:fill="F0EAFB"/>
          </w:tcPr>
          <w:p>
            <w:pPr>
              <w:spacing w:after="0"/>
            </w:pPr>
            <w:r>
              <w:rPr>
                <w:b/>
              </w:rPr>
              <w:t>Industry mentor</w:t>
            </w:r>
          </w:p>
        </w:tc>
        <w:tc>
          <w:tcPr>
            <w:tcW w:type="dxa" w:w="6644"/>
          </w:tcPr>
          <w:p>
            <w:pPr>
              <w:spacing w:after="0"/>
            </w:pPr>
            <w:r>
              <w:t>Ms. Nandini Bose, HR Business Partner</w:t>
            </w:r>
          </w:p>
        </w:tc>
      </w:tr>
      <w:tr>
        <w:tc>
          <w:tcPr>
            <w:tcW w:type="dxa" w:w="2381"/>
            <w:shd w:val="clear" w:color="auto" w:fill="F0EAFB"/>
          </w:tcPr>
          <w:p>
            <w:pPr>
              <w:spacing w:after="0"/>
            </w:pPr>
            <w:r>
              <w:rPr>
                <w:b/>
              </w:rPr>
              <w:t>Tools used</w:t>
            </w:r>
          </w:p>
        </w:tc>
        <w:tc>
          <w:tcPr>
            <w:tcW w:type="dxa" w:w="6644"/>
          </w:tcPr>
          <w:p>
            <w:pPr>
              <w:spacing w:after="0"/>
            </w:pPr>
            <w:r>
              <w:t>HRMS, Excel, Google Forms, Job portals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1"/>
      </w:pPr>
      <w:r>
        <w:t>04  Projects Undertaken</w:t>
      </w:r>
      <w:r>
        <w:tab/>
        <w:t>10</w:t>
      </w:r>
    </w:p>
    <w:p>
      <w:pPr>
        <w:pStyle w:val="TOC2"/>
      </w:pPr>
      <w:r>
        <w:t>Project 1: Attrition analysis</w:t>
      </w:r>
      <w:r>
        <w:tab/>
        <w:t>10</w:t>
      </w:r>
    </w:p>
    <w:p>
      <w:pPr>
        <w:pStyle w:val="TOC2"/>
      </w:pPr>
      <w:r>
        <w:t>Project 2: Engagement pulse survey</w:t>
      </w:r>
      <w:r>
        <w:tab/>
        <w:t>10</w:t>
      </w:r>
    </w:p>
    <w:p>
      <w:pPr>
        <w:pStyle w:val="TOC1"/>
      </w:pPr>
      <w:r>
        <w:t>05  Skills and Learning Outcomes</w:t>
      </w:r>
      <w:r>
        <w:tab/>
        <w:t>11</w:t>
      </w:r>
    </w:p>
    <w:p>
      <w:pPr>
        <w:pStyle w:val="TOC2"/>
      </w:pPr>
      <w:r>
        <w:t>Challenges Faced</w:t>
      </w:r>
      <w:r>
        <w:tab/>
        <w:t>11</w:t>
      </w:r>
    </w:p>
    <w:p>
      <w:pPr>
        <w:pStyle w:val="TOC1"/>
      </w:pPr>
      <w:r>
        <w:t>06  Conclusion</w:t>
      </w:r>
      <w:r>
        <w:tab/>
        <w:t>12</w:t>
      </w:r>
    </w:p>
    <w:p>
      <w:pPr>
        <w:pStyle w:val="TOC1"/>
      </w:pPr>
      <w:r>
        <w:t>07  Appendix: Attendance and Evaluation</w:t>
      </w:r>
      <w:r>
        <w:tab/>
        <w:t>13</w:t>
      </w:r>
    </w:p>
    <w:p>
      <w:pPr>
        <w:spacing w:after="0"/>
      </w:pPr>
      <w:r>
        <w:fldChar w:fldCharType="end"/>
      </w:r>
    </w:p>
    <w:p>
      <w:pPr>
        <w:pStyle w:val="Heading1"/>
      </w:pPr>
      <w:r>
        <w:t>01  Company Profile</w:t>
      </w:r>
    </w:p>
    <w:p>
      <w:pPr>
        <w:pStyle w:val="Heading2"/>
      </w:pPr>
      <w:r>
        <w:t>About the Organisation</w:t>
      </w:r>
    </w:p>
    <w:p>
      <w:pPr>
        <w:jc w:val="both"/>
      </w:pPr>
      <w:r>
        <w:t>SwiftRoute Logistics operates warehouses and transport networks for e-commerce and retail clients across North India. It employs a large frontline workforce, which makes hiring, training and retention central to its operations.</w:t>
      </w:r>
    </w:p>
    <w:p>
      <w:pPr>
        <w:pStyle w:val="Heading2"/>
      </w:pPr>
      <w:r>
        <w:t>Vision and Mission</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0EAFB"/>
            <w:tcBorders>
              <w:left w:val="single" w:sz="36" w:space="0" w:color="6D28D9"/>
            </w:tcBorders>
          </w:tcPr>
          <w:p>
            <w:pPr>
              <w:spacing w:after="60"/>
            </w:pPr>
            <w:r>
              <w:rPr>
                <w:b/>
                <w:color w:val="6D28D9"/>
              </w:rPr>
              <w:t>Vision</w:t>
            </w:r>
          </w:p>
          <w:p>
            <w:pPr>
              <w:spacing w:after="0"/>
            </w:pPr>
            <w:r>
              <w:t>To move goods reliably while being a great place to work.</w:t>
            </w:r>
          </w:p>
        </w:tc>
      </w:tr>
    </w:tbl>
    <w:p>
      <w:pPr>
        <w:spacing w:after="4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0EAFB"/>
            <w:tcBorders>
              <w:left w:val="single" w:sz="36" w:space="0" w:color="6D28D9"/>
            </w:tcBorders>
          </w:tcPr>
          <w:p>
            <w:pPr>
              <w:spacing w:after="60"/>
            </w:pPr>
            <w:r>
              <w:rPr>
                <w:b/>
                <w:color w:val="6D28D9"/>
              </w:rPr>
              <w:t>Mission</w:t>
            </w:r>
          </w:p>
          <w:p>
            <w:pPr>
              <w:spacing w:after="0"/>
            </w:pPr>
            <w:r>
              <w:t>To build safe, efficient operations powered by skilled and motivated people.</w:t>
            </w:r>
          </w:p>
        </w:tc>
      </w:tr>
    </w:tbl>
    <w:p>
      <w:pPr>
        <w:spacing w:after="40"/>
      </w:pPr>
    </w:p>
    <w:p>
      <w:pPr>
        <w:pStyle w:val="Heading2"/>
      </w:pPr>
      <w:r>
        <w:t>Products and Services</w:t>
      </w:r>
    </w:p>
    <w:p>
      <w:pPr>
        <w:pStyle w:val="ListBullet"/>
      </w:pPr>
      <w:r>
        <w:t>Warehousing and fulfilment</w:t>
      </w:r>
    </w:p>
    <w:p>
      <w:pPr>
        <w:pStyle w:val="ListBullet"/>
      </w:pPr>
      <w:r>
        <w:t>Line-haul and last-mile transport</w:t>
      </w:r>
    </w:p>
    <w:p>
      <w:pPr>
        <w:pStyle w:val="ListBullet"/>
      </w:pPr>
      <w:r>
        <w:t>Returns management</w:t>
      </w:r>
    </w:p>
    <w:p>
      <w:pPr>
        <w:pStyle w:val="ListBullet"/>
      </w:pPr>
      <w:r>
        <w:t>Inventory management</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521EA3"/>
          </w:tcPr>
          <w:p>
            <w:pPr>
              <w:spacing w:after="0"/>
            </w:pPr>
            <w:r/>
            <w:r>
              <w:rPr>
                <w:b/>
                <w:color w:val="FFFFFF"/>
                <w:sz w:val="19"/>
              </w:rPr>
              <w:t>Department</w:t>
            </w:r>
          </w:p>
        </w:tc>
        <w:tc>
          <w:tcPr>
            <w:tcW w:type="dxa" w:w="6447"/>
            <w:vAlign w:val="center"/>
            <w:shd w:val="clear" w:color="auto" w:fill="521EA3"/>
          </w:tcPr>
          <w:p>
            <w:pPr>
              <w:spacing w:after="0"/>
            </w:pPr>
            <w:r/>
            <w:r>
              <w:rPr>
                <w:b/>
                <w:color w:val="FFFFFF"/>
                <w:sz w:val="19"/>
              </w:rPr>
              <w:t>Main responsibilities</w:t>
            </w:r>
          </w:p>
        </w:tc>
      </w:tr>
      <w:tr>
        <w:tc>
          <w:tcPr>
            <w:tcW w:type="dxa" w:w="2579"/>
            <w:vAlign w:val="center"/>
          </w:tcPr>
          <w:p>
            <w:pPr>
              <w:spacing w:after="0"/>
            </w:pPr>
            <w:r/>
            <w:r>
              <w:rPr>
                <w:sz w:val="19"/>
              </w:rPr>
              <w:t>Operations</w:t>
            </w:r>
          </w:p>
        </w:tc>
        <w:tc>
          <w:tcPr>
            <w:tcW w:type="dxa" w:w="6447"/>
            <w:vAlign w:val="center"/>
          </w:tcPr>
          <w:p>
            <w:pPr>
              <w:spacing w:after="0"/>
            </w:pPr>
            <w:r/>
            <w:r>
              <w:rPr>
                <w:sz w:val="19"/>
              </w:rPr>
              <w:t>Warehouses and transport</w:t>
            </w:r>
          </w:p>
        </w:tc>
      </w:tr>
      <w:tr>
        <w:tc>
          <w:tcPr>
            <w:tcW w:type="dxa" w:w="2579"/>
            <w:vAlign w:val="center"/>
            <w:shd w:val="clear" w:color="auto" w:fill="F0EAFB"/>
          </w:tcPr>
          <w:p>
            <w:pPr>
              <w:spacing w:after="0"/>
            </w:pPr>
            <w:r/>
            <w:r>
              <w:rPr>
                <w:sz w:val="19"/>
              </w:rPr>
              <w:t>Human Resources</w:t>
            </w:r>
          </w:p>
        </w:tc>
        <w:tc>
          <w:tcPr>
            <w:tcW w:type="dxa" w:w="6447"/>
            <w:vAlign w:val="center"/>
            <w:shd w:val="clear" w:color="auto" w:fill="F0EAFB"/>
          </w:tcPr>
          <w:p>
            <w:pPr>
              <w:spacing w:after="0"/>
            </w:pPr>
            <w:r/>
            <w:r>
              <w:rPr>
                <w:sz w:val="19"/>
              </w:rPr>
              <w:t>Hiring, training, payroll and engagement</w:t>
            </w:r>
          </w:p>
        </w:tc>
      </w:tr>
      <w:tr>
        <w:tc>
          <w:tcPr>
            <w:tcW w:type="dxa" w:w="2579"/>
            <w:vAlign w:val="center"/>
          </w:tcPr>
          <w:p>
            <w:pPr>
              <w:spacing w:after="0"/>
            </w:pPr>
            <w:r/>
            <w:r>
              <w:rPr>
                <w:sz w:val="19"/>
              </w:rPr>
              <w:t>Finance</w:t>
            </w:r>
          </w:p>
        </w:tc>
        <w:tc>
          <w:tcPr>
            <w:tcW w:type="dxa" w:w="6447"/>
            <w:vAlign w:val="center"/>
          </w:tcPr>
          <w:p>
            <w:pPr>
              <w:spacing w:after="0"/>
            </w:pPr>
            <w:r/>
            <w:r>
              <w:rPr>
                <w:sz w:val="19"/>
              </w:rPr>
              <w:t>Accounts and billing</w:t>
            </w:r>
          </w:p>
        </w:tc>
      </w:tr>
      <w:tr>
        <w:tc>
          <w:tcPr>
            <w:tcW w:type="dxa" w:w="2579"/>
            <w:vAlign w:val="center"/>
            <w:shd w:val="clear" w:color="auto" w:fill="F0EAFB"/>
          </w:tcPr>
          <w:p>
            <w:pPr>
              <w:spacing w:after="0"/>
            </w:pPr>
            <w:r/>
            <w:r>
              <w:rPr>
                <w:sz w:val="19"/>
              </w:rPr>
              <w:t>Sales</w:t>
            </w:r>
          </w:p>
        </w:tc>
        <w:tc>
          <w:tcPr>
            <w:tcW w:type="dxa" w:w="6447"/>
            <w:vAlign w:val="center"/>
            <w:shd w:val="clear" w:color="auto" w:fill="F0EAFB"/>
          </w:tcPr>
          <w:p>
            <w:pPr>
              <w:spacing w:after="0"/>
            </w:pPr>
            <w:r/>
            <w:r>
              <w:rPr>
                <w:sz w:val="19"/>
              </w:rPr>
              <w:t>Client acquisition</w:t>
            </w:r>
          </w:p>
        </w:tc>
      </w:tr>
    </w:tbl>
    <w:p>
      <w:pPr>
        <w:spacing w:after="80"/>
      </w:pPr>
    </w:p>
    <w:p>
      <w:pPr>
        <w:pStyle w:val="Heading1"/>
      </w:pPr>
      <w:r>
        <w:t>02  Internship Overview</w:t>
      </w:r>
    </w:p>
    <w:p>
      <w:pPr>
        <w:pStyle w:val="Heading2"/>
      </w:pPr>
      <w:r>
        <w:t>Objectives of the Internship</w:t>
      </w:r>
    </w:p>
    <w:p>
      <w:pPr>
        <w:pStyle w:val="ListNumber"/>
      </w:pPr>
      <w:r>
        <w:t>Understand the HR cycle in a large operations workforce.</w:t>
      </w:r>
    </w:p>
    <w:p>
      <w:pPr>
        <w:pStyle w:val="ListNumber"/>
      </w:pPr>
      <w:r>
        <w:t>Learn hiring and onboarding processes.</w:t>
      </w:r>
    </w:p>
    <w:p>
      <w:pPr>
        <w:pStyle w:val="ListNumber"/>
      </w:pPr>
      <w:r>
        <w:t>Analyse attrition data and suggest actions.</w:t>
      </w:r>
    </w:p>
    <w:p>
      <w:pPr>
        <w:pStyle w:val="Heading2"/>
      </w:pPr>
      <w:r>
        <w:t>Role and Responsibilities</w:t>
      </w:r>
    </w:p>
    <w:p>
      <w:pPr>
        <w:pStyle w:val="ListBullet"/>
      </w:pPr>
      <w:r>
        <w:t>Screening applications</w:t>
      </w:r>
    </w:p>
    <w:p>
      <w:pPr>
        <w:pStyle w:val="ListBullet"/>
      </w:pPr>
      <w:r>
        <w:t>Coordinating interviews</w:t>
      </w:r>
    </w:p>
    <w:p>
      <w:pPr>
        <w:pStyle w:val="ListBullet"/>
      </w:pPr>
      <w:r>
        <w:t>Onboarding documentation</w:t>
      </w:r>
    </w:p>
    <w:p>
      <w:pPr>
        <w:pStyle w:val="ListBullet"/>
      </w:pPr>
      <w:r>
        <w:t>Analysing exit interviews</w:t>
      </w:r>
    </w:p>
    <w:p>
      <w:pPr>
        <w:pStyle w:val="Heading2"/>
      </w:pPr>
      <w:r>
        <w:t>Tools and Technologies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521EA3"/>
          </w:tcPr>
          <w:p>
            <w:pPr>
              <w:spacing w:after="0"/>
            </w:pPr>
            <w:r/>
            <w:r>
              <w:rPr>
                <w:b/>
                <w:color w:val="FFFFFF"/>
                <w:sz w:val="19"/>
              </w:rPr>
              <w:t>Tool / technology</w:t>
            </w:r>
          </w:p>
        </w:tc>
        <w:tc>
          <w:tcPr>
            <w:tcW w:type="dxa" w:w="6447"/>
            <w:vAlign w:val="center"/>
            <w:shd w:val="clear" w:color="auto" w:fill="521EA3"/>
          </w:tcPr>
          <w:p>
            <w:pPr>
              <w:spacing w:after="0"/>
            </w:pPr>
            <w:r/>
            <w:r>
              <w:rPr>
                <w:b/>
                <w:color w:val="FFFFFF"/>
                <w:sz w:val="19"/>
              </w:rPr>
              <w:t>How it was used</w:t>
            </w:r>
          </w:p>
        </w:tc>
      </w:tr>
      <w:tr>
        <w:tc>
          <w:tcPr>
            <w:tcW w:type="dxa" w:w="2579"/>
            <w:vAlign w:val="center"/>
          </w:tcPr>
          <w:p>
            <w:pPr>
              <w:spacing w:after="0"/>
            </w:pPr>
            <w:r/>
            <w:r>
              <w:rPr>
                <w:sz w:val="19"/>
              </w:rPr>
              <w:t>HRMS</w:t>
            </w:r>
          </w:p>
        </w:tc>
        <w:tc>
          <w:tcPr>
            <w:tcW w:type="dxa" w:w="6447"/>
            <w:vAlign w:val="center"/>
          </w:tcPr>
          <w:p>
            <w:pPr>
              <w:spacing w:after="0"/>
            </w:pPr>
            <w:r/>
            <w:r>
              <w:rPr>
                <w:sz w:val="19"/>
              </w:rPr>
              <w:t>Employee records and onboarding</w:t>
            </w:r>
          </w:p>
        </w:tc>
      </w:tr>
      <w:tr>
        <w:tc>
          <w:tcPr>
            <w:tcW w:type="dxa" w:w="2579"/>
            <w:vAlign w:val="center"/>
            <w:shd w:val="clear" w:color="auto" w:fill="F0EAFB"/>
          </w:tcPr>
          <w:p>
            <w:pPr>
              <w:spacing w:after="0"/>
            </w:pPr>
            <w:r/>
            <w:r>
              <w:rPr>
                <w:sz w:val="19"/>
              </w:rPr>
              <w:t>Excel</w:t>
            </w:r>
          </w:p>
        </w:tc>
        <w:tc>
          <w:tcPr>
            <w:tcW w:type="dxa" w:w="6447"/>
            <w:vAlign w:val="center"/>
            <w:shd w:val="clear" w:color="auto" w:fill="F0EAFB"/>
          </w:tcPr>
          <w:p>
            <w:pPr>
              <w:spacing w:after="0"/>
            </w:pPr>
            <w:r/>
            <w:r>
              <w:rPr>
                <w:sz w:val="19"/>
              </w:rPr>
              <w:t>Attrition analysis</w:t>
            </w:r>
          </w:p>
        </w:tc>
      </w:tr>
      <w:tr>
        <w:tc>
          <w:tcPr>
            <w:tcW w:type="dxa" w:w="2579"/>
            <w:vAlign w:val="center"/>
          </w:tcPr>
          <w:p>
            <w:pPr>
              <w:spacing w:after="0"/>
            </w:pPr>
            <w:r/>
            <w:r>
              <w:rPr>
                <w:sz w:val="19"/>
              </w:rPr>
              <w:t>Google Forms</w:t>
            </w:r>
          </w:p>
        </w:tc>
        <w:tc>
          <w:tcPr>
            <w:tcW w:type="dxa" w:w="6447"/>
            <w:vAlign w:val="center"/>
          </w:tcPr>
          <w:p>
            <w:pPr>
              <w:spacing w:after="0"/>
            </w:pPr>
            <w:r/>
            <w:r>
              <w:rPr>
                <w:sz w:val="19"/>
              </w:rPr>
              <w:t>Engagement survey</w:t>
            </w:r>
          </w:p>
        </w:tc>
      </w:tr>
      <w:tr>
        <w:tc>
          <w:tcPr>
            <w:tcW w:type="dxa" w:w="2579"/>
            <w:vAlign w:val="center"/>
            <w:shd w:val="clear" w:color="auto" w:fill="F0EAFB"/>
          </w:tcPr>
          <w:p>
            <w:pPr>
              <w:spacing w:after="0"/>
            </w:pPr>
            <w:r/>
            <w:r>
              <w:rPr>
                <w:sz w:val="19"/>
              </w:rPr>
              <w:t>Job portals</w:t>
            </w:r>
          </w:p>
        </w:tc>
        <w:tc>
          <w:tcPr>
            <w:tcW w:type="dxa" w:w="6447"/>
            <w:vAlign w:val="center"/>
            <w:shd w:val="clear" w:color="auto" w:fill="F0EAFB"/>
          </w:tcPr>
          <w:p>
            <w:pPr>
              <w:spacing w:after="0"/>
            </w:pPr>
            <w:r/>
            <w:r>
              <w:rPr>
                <w:sz w:val="19"/>
              </w:rPr>
              <w:t>Sourcing candidates</w:t>
            </w:r>
          </w:p>
        </w:tc>
      </w:tr>
    </w:tbl>
    <w:p>
      <w:pPr>
        <w:spacing w:after="80"/>
      </w:pPr>
    </w:p>
    <w:p>
      <w:pPr>
        <w:pStyle w:val="Heading1"/>
      </w:pPr>
      <w:r>
        <w:t>03  Weekly Work Log</w:t>
      </w:r>
    </w:p>
    <w:p>
      <w:r>
        <w:t>The table below summarises the work done in each week of the internship.</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698"/>
        <w:gridCol w:w="1630"/>
        <w:gridCol w:w="3785"/>
        <w:gridCol w:w="2911"/>
      </w:tblGrid>
      <w:tr>
        <w:trPr>
          <w:tblHeader/>
        </w:trPr>
        <w:tc>
          <w:tcPr>
            <w:tcW w:type="dxa" w:w="699"/>
            <w:vAlign w:val="center"/>
            <w:shd w:val="clear" w:color="auto" w:fill="521EA3"/>
          </w:tcPr>
          <w:p>
            <w:pPr>
              <w:spacing w:after="0"/>
              <w:jc w:val="center"/>
            </w:pPr>
            <w:r/>
            <w:r>
              <w:rPr>
                <w:b/>
                <w:color w:val="FFFFFF"/>
                <w:sz w:val="19"/>
              </w:rPr>
              <w:t>Week</w:t>
            </w:r>
          </w:p>
        </w:tc>
        <w:tc>
          <w:tcPr>
            <w:tcW w:type="dxa" w:w="1630"/>
            <w:vAlign w:val="center"/>
            <w:shd w:val="clear" w:color="auto" w:fill="521EA3"/>
          </w:tcPr>
          <w:p>
            <w:pPr>
              <w:spacing w:after="0"/>
              <w:jc w:val="left"/>
            </w:pPr>
            <w:r/>
            <w:r>
              <w:rPr>
                <w:b/>
                <w:color w:val="FFFFFF"/>
                <w:sz w:val="19"/>
              </w:rPr>
              <w:t>Dates</w:t>
            </w:r>
          </w:p>
        </w:tc>
        <w:tc>
          <w:tcPr>
            <w:tcW w:type="dxa" w:w="3785"/>
            <w:vAlign w:val="center"/>
            <w:shd w:val="clear" w:color="auto" w:fill="521EA3"/>
          </w:tcPr>
          <w:p>
            <w:pPr>
              <w:spacing w:after="0"/>
              <w:jc w:val="left"/>
            </w:pPr>
            <w:r/>
            <w:r>
              <w:rPr>
                <w:b/>
                <w:color w:val="FFFFFF"/>
                <w:sz w:val="19"/>
              </w:rPr>
              <w:t>Tasks performed</w:t>
            </w:r>
          </w:p>
        </w:tc>
        <w:tc>
          <w:tcPr>
            <w:tcW w:type="dxa" w:w="2911"/>
            <w:vAlign w:val="center"/>
            <w:shd w:val="clear" w:color="auto" w:fill="521EA3"/>
          </w:tcPr>
          <w:p>
            <w:pPr>
              <w:spacing w:after="0"/>
              <w:jc w:val="left"/>
            </w:pPr>
            <w:r/>
            <w:r>
              <w:rPr>
                <w:b/>
                <w:color w:val="FFFFFF"/>
                <w:sz w:val="19"/>
              </w:rPr>
              <w:t>Key learning</w:t>
            </w:r>
          </w:p>
        </w:tc>
      </w:tr>
      <w:tr>
        <w:tc>
          <w:tcPr>
            <w:tcW w:type="dxa" w:w="699"/>
            <w:vAlign w:val="center"/>
          </w:tcPr>
          <w:p>
            <w:pPr>
              <w:spacing w:after="0"/>
              <w:jc w:val="center"/>
            </w:pPr>
            <w:r/>
            <w:r>
              <w:rPr>
                <w:sz w:val="19"/>
              </w:rPr>
              <w:t>1</w:t>
            </w:r>
          </w:p>
        </w:tc>
        <w:tc>
          <w:tcPr>
            <w:tcW w:type="dxa" w:w="1630"/>
            <w:vAlign w:val="center"/>
          </w:tcPr>
          <w:p>
            <w:pPr>
              <w:spacing w:after="0"/>
              <w:jc w:val="left"/>
            </w:pPr>
            <w:r/>
            <w:r>
              <w:rPr>
                <w:sz w:val="19"/>
              </w:rPr>
              <w:t>2–6 Jun</w:t>
            </w:r>
          </w:p>
        </w:tc>
        <w:tc>
          <w:tcPr>
            <w:tcW w:type="dxa" w:w="3785"/>
            <w:vAlign w:val="center"/>
          </w:tcPr>
          <w:p>
            <w:pPr>
              <w:spacing w:after="0"/>
              <w:jc w:val="left"/>
            </w:pPr>
            <w:r/>
            <w:r>
              <w:rPr>
                <w:sz w:val="19"/>
              </w:rPr>
              <w:t>Induction, HR policies and HRMS walkthrough</w:t>
            </w:r>
          </w:p>
        </w:tc>
        <w:tc>
          <w:tcPr>
            <w:tcW w:type="dxa" w:w="2911"/>
            <w:vAlign w:val="center"/>
          </w:tcPr>
          <w:p>
            <w:pPr>
              <w:spacing w:after="0"/>
              <w:jc w:val="left"/>
            </w:pPr>
            <w:r/>
            <w:r>
              <w:rPr>
                <w:sz w:val="19"/>
              </w:rPr>
              <w:t>HR policy structure</w:t>
            </w:r>
          </w:p>
        </w:tc>
      </w:tr>
      <w:tr>
        <w:tc>
          <w:tcPr>
            <w:tcW w:type="dxa" w:w="699"/>
            <w:vAlign w:val="center"/>
            <w:shd w:val="clear" w:color="auto" w:fill="F0EAFB"/>
          </w:tcPr>
          <w:p>
            <w:pPr>
              <w:spacing w:after="0"/>
              <w:jc w:val="center"/>
            </w:pPr>
            <w:r/>
            <w:r>
              <w:rPr>
                <w:sz w:val="19"/>
              </w:rPr>
              <w:t>2</w:t>
            </w:r>
          </w:p>
        </w:tc>
        <w:tc>
          <w:tcPr>
            <w:tcW w:type="dxa" w:w="1630"/>
            <w:vAlign w:val="center"/>
            <w:shd w:val="clear" w:color="auto" w:fill="F0EAFB"/>
          </w:tcPr>
          <w:p>
            <w:pPr>
              <w:spacing w:after="0"/>
              <w:jc w:val="left"/>
            </w:pPr>
            <w:r/>
            <w:r>
              <w:rPr>
                <w:sz w:val="19"/>
              </w:rPr>
              <w:t>9–13 Jun</w:t>
            </w:r>
          </w:p>
        </w:tc>
        <w:tc>
          <w:tcPr>
            <w:tcW w:type="dxa" w:w="3785"/>
            <w:vAlign w:val="center"/>
            <w:shd w:val="clear" w:color="auto" w:fill="F0EAFB"/>
          </w:tcPr>
          <w:p>
            <w:pPr>
              <w:spacing w:after="0"/>
              <w:jc w:val="left"/>
            </w:pPr>
            <w:r/>
            <w:r>
              <w:rPr>
                <w:sz w:val="19"/>
              </w:rPr>
              <w:t>Hiring drive for warehouse associates</w:t>
            </w:r>
          </w:p>
        </w:tc>
        <w:tc>
          <w:tcPr>
            <w:tcW w:type="dxa" w:w="2911"/>
            <w:vAlign w:val="center"/>
            <w:shd w:val="clear" w:color="auto" w:fill="F0EAFB"/>
          </w:tcPr>
          <w:p>
            <w:pPr>
              <w:spacing w:after="0"/>
              <w:jc w:val="left"/>
            </w:pPr>
            <w:r/>
            <w:r>
              <w:rPr>
                <w:sz w:val="19"/>
              </w:rPr>
              <w:t>Screening for frontline roles</w:t>
            </w:r>
          </w:p>
        </w:tc>
      </w:tr>
      <w:tr>
        <w:tc>
          <w:tcPr>
            <w:tcW w:type="dxa" w:w="699"/>
            <w:vAlign w:val="center"/>
          </w:tcPr>
          <w:p>
            <w:pPr>
              <w:spacing w:after="0"/>
              <w:jc w:val="center"/>
            </w:pPr>
            <w:r/>
            <w:r>
              <w:rPr>
                <w:sz w:val="19"/>
              </w:rPr>
              <w:t>3</w:t>
            </w:r>
          </w:p>
        </w:tc>
        <w:tc>
          <w:tcPr>
            <w:tcW w:type="dxa" w:w="1630"/>
            <w:vAlign w:val="center"/>
          </w:tcPr>
          <w:p>
            <w:pPr>
              <w:spacing w:after="0"/>
              <w:jc w:val="left"/>
            </w:pPr>
            <w:r/>
            <w:r>
              <w:rPr>
                <w:sz w:val="19"/>
              </w:rPr>
              <w:t>16–20 Jun</w:t>
            </w:r>
          </w:p>
        </w:tc>
        <w:tc>
          <w:tcPr>
            <w:tcW w:type="dxa" w:w="3785"/>
            <w:vAlign w:val="center"/>
          </w:tcPr>
          <w:p>
            <w:pPr>
              <w:spacing w:after="0"/>
              <w:jc w:val="left"/>
            </w:pPr>
            <w:r/>
            <w:r>
              <w:rPr>
                <w:sz w:val="19"/>
              </w:rPr>
              <w:t>Onboarding documentation</w:t>
            </w:r>
          </w:p>
        </w:tc>
        <w:tc>
          <w:tcPr>
            <w:tcW w:type="dxa" w:w="2911"/>
            <w:vAlign w:val="center"/>
          </w:tcPr>
          <w:p>
            <w:pPr>
              <w:spacing w:after="0"/>
              <w:jc w:val="left"/>
            </w:pPr>
            <w:r/>
            <w:r>
              <w:rPr>
                <w:sz w:val="19"/>
              </w:rPr>
              <w:t>Statutory documents and checklists</w:t>
            </w:r>
          </w:p>
        </w:tc>
      </w:tr>
      <w:tr>
        <w:tc>
          <w:tcPr>
            <w:tcW w:type="dxa" w:w="699"/>
            <w:vAlign w:val="center"/>
            <w:shd w:val="clear" w:color="auto" w:fill="F0EAFB"/>
          </w:tcPr>
          <w:p>
            <w:pPr>
              <w:spacing w:after="0"/>
              <w:jc w:val="center"/>
            </w:pPr>
            <w:r/>
            <w:r>
              <w:rPr>
                <w:sz w:val="19"/>
              </w:rPr>
              <w:t>4</w:t>
            </w:r>
          </w:p>
        </w:tc>
        <w:tc>
          <w:tcPr>
            <w:tcW w:type="dxa" w:w="1630"/>
            <w:vAlign w:val="center"/>
            <w:shd w:val="clear" w:color="auto" w:fill="F0EAFB"/>
          </w:tcPr>
          <w:p>
            <w:pPr>
              <w:spacing w:after="0"/>
              <w:jc w:val="left"/>
            </w:pPr>
            <w:r/>
            <w:r>
              <w:rPr>
                <w:sz w:val="19"/>
              </w:rPr>
              <w:t>23–27 Jun</w:t>
            </w:r>
          </w:p>
        </w:tc>
        <w:tc>
          <w:tcPr>
            <w:tcW w:type="dxa" w:w="3785"/>
            <w:vAlign w:val="center"/>
            <w:shd w:val="clear" w:color="auto" w:fill="F0EAFB"/>
          </w:tcPr>
          <w:p>
            <w:pPr>
              <w:spacing w:after="0"/>
              <w:jc w:val="left"/>
            </w:pPr>
            <w:r/>
            <w:r>
              <w:rPr>
                <w:sz w:val="19"/>
              </w:rPr>
              <w:t>Exit interview data collection</w:t>
            </w:r>
          </w:p>
        </w:tc>
        <w:tc>
          <w:tcPr>
            <w:tcW w:type="dxa" w:w="2911"/>
            <w:vAlign w:val="center"/>
            <w:shd w:val="clear" w:color="auto" w:fill="F0EAFB"/>
          </w:tcPr>
          <w:p>
            <w:pPr>
              <w:spacing w:after="0"/>
              <w:jc w:val="left"/>
            </w:pPr>
            <w:r/>
            <w:r>
              <w:rPr>
                <w:sz w:val="19"/>
              </w:rPr>
              <w:t>Common reasons for leaving</w:t>
            </w:r>
          </w:p>
        </w:tc>
      </w:tr>
      <w:tr>
        <w:tc>
          <w:tcPr>
            <w:tcW w:type="dxa" w:w="699"/>
            <w:vAlign w:val="center"/>
          </w:tcPr>
          <w:p>
            <w:pPr>
              <w:spacing w:after="0"/>
              <w:jc w:val="center"/>
            </w:pPr>
            <w:r/>
            <w:r>
              <w:rPr>
                <w:sz w:val="19"/>
              </w:rPr>
              <w:t>5</w:t>
            </w:r>
          </w:p>
        </w:tc>
        <w:tc>
          <w:tcPr>
            <w:tcW w:type="dxa" w:w="1630"/>
            <w:vAlign w:val="center"/>
          </w:tcPr>
          <w:p>
            <w:pPr>
              <w:spacing w:after="0"/>
              <w:jc w:val="left"/>
            </w:pPr>
            <w:r/>
            <w:r>
              <w:rPr>
                <w:sz w:val="19"/>
              </w:rPr>
              <w:t>30 Jun–4 Jul</w:t>
            </w:r>
          </w:p>
        </w:tc>
        <w:tc>
          <w:tcPr>
            <w:tcW w:type="dxa" w:w="3785"/>
            <w:vAlign w:val="center"/>
          </w:tcPr>
          <w:p>
            <w:pPr>
              <w:spacing w:after="0"/>
              <w:jc w:val="left"/>
            </w:pPr>
            <w:r/>
            <w:r>
              <w:rPr>
                <w:sz w:val="19"/>
              </w:rPr>
              <w:t>Attrition analysis</w:t>
            </w:r>
          </w:p>
        </w:tc>
        <w:tc>
          <w:tcPr>
            <w:tcW w:type="dxa" w:w="2911"/>
            <w:vAlign w:val="center"/>
          </w:tcPr>
          <w:p>
            <w:pPr>
              <w:spacing w:after="0"/>
              <w:jc w:val="left"/>
            </w:pPr>
            <w:r/>
            <w:r>
              <w:rPr>
                <w:sz w:val="19"/>
              </w:rPr>
              <w:t>Turning data into HR actions</w:t>
            </w:r>
          </w:p>
        </w:tc>
      </w:tr>
      <w:tr>
        <w:tc>
          <w:tcPr>
            <w:tcW w:type="dxa" w:w="699"/>
            <w:vAlign w:val="center"/>
            <w:shd w:val="clear" w:color="auto" w:fill="F0EAFB"/>
          </w:tcPr>
          <w:p>
            <w:pPr>
              <w:spacing w:after="0"/>
              <w:jc w:val="center"/>
            </w:pPr>
            <w:r/>
            <w:r>
              <w:rPr>
                <w:sz w:val="19"/>
              </w:rPr>
              <w:t>6</w:t>
            </w:r>
          </w:p>
        </w:tc>
        <w:tc>
          <w:tcPr>
            <w:tcW w:type="dxa" w:w="1630"/>
            <w:vAlign w:val="center"/>
            <w:shd w:val="clear" w:color="auto" w:fill="F0EAFB"/>
          </w:tcPr>
          <w:p>
            <w:pPr>
              <w:spacing w:after="0"/>
              <w:jc w:val="left"/>
            </w:pPr>
            <w:r/>
            <w:r>
              <w:rPr>
                <w:sz w:val="19"/>
              </w:rPr>
              <w:t>7–11 Jul</w:t>
            </w:r>
          </w:p>
        </w:tc>
        <w:tc>
          <w:tcPr>
            <w:tcW w:type="dxa" w:w="3785"/>
            <w:vAlign w:val="center"/>
            <w:shd w:val="clear" w:color="auto" w:fill="F0EAFB"/>
          </w:tcPr>
          <w:p>
            <w:pPr>
              <w:spacing w:after="0"/>
              <w:jc w:val="left"/>
            </w:pPr>
            <w:r/>
            <w:r>
              <w:rPr>
                <w:sz w:val="19"/>
              </w:rPr>
              <w:t>Engagement survey design</w:t>
            </w:r>
          </w:p>
        </w:tc>
        <w:tc>
          <w:tcPr>
            <w:tcW w:type="dxa" w:w="2911"/>
            <w:vAlign w:val="center"/>
            <w:shd w:val="clear" w:color="auto" w:fill="F0EAFB"/>
          </w:tcPr>
          <w:p>
            <w:pPr>
              <w:spacing w:after="0"/>
              <w:jc w:val="left"/>
            </w:pPr>
            <w:r/>
            <w:r>
              <w:rPr>
                <w:sz w:val="19"/>
              </w:rPr>
              <w:t>Writing unbiased questions</w:t>
            </w:r>
          </w:p>
        </w:tc>
      </w:tr>
      <w:tr>
        <w:tc>
          <w:tcPr>
            <w:tcW w:type="dxa" w:w="699"/>
            <w:vAlign w:val="center"/>
          </w:tcPr>
          <w:p>
            <w:pPr>
              <w:spacing w:after="0"/>
              <w:jc w:val="center"/>
            </w:pPr>
            <w:r/>
            <w:r>
              <w:rPr>
                <w:sz w:val="19"/>
              </w:rPr>
              <w:t>7</w:t>
            </w:r>
          </w:p>
        </w:tc>
        <w:tc>
          <w:tcPr>
            <w:tcW w:type="dxa" w:w="1630"/>
            <w:vAlign w:val="center"/>
          </w:tcPr>
          <w:p>
            <w:pPr>
              <w:spacing w:after="0"/>
              <w:jc w:val="left"/>
            </w:pPr>
            <w:r/>
            <w:r>
              <w:rPr>
                <w:sz w:val="19"/>
              </w:rPr>
              <w:t>14–18 Jul</w:t>
            </w:r>
          </w:p>
        </w:tc>
        <w:tc>
          <w:tcPr>
            <w:tcW w:type="dxa" w:w="3785"/>
            <w:vAlign w:val="center"/>
          </w:tcPr>
          <w:p>
            <w:pPr>
              <w:spacing w:after="0"/>
              <w:jc w:val="left"/>
            </w:pPr>
            <w:r/>
            <w:r>
              <w:rPr>
                <w:sz w:val="19"/>
              </w:rPr>
              <w:t>Survey roll-out and analysis</w:t>
            </w:r>
          </w:p>
        </w:tc>
        <w:tc>
          <w:tcPr>
            <w:tcW w:type="dxa" w:w="2911"/>
            <w:vAlign w:val="center"/>
          </w:tcPr>
          <w:p>
            <w:pPr>
              <w:spacing w:after="0"/>
              <w:jc w:val="left"/>
            </w:pPr>
            <w:r/>
            <w:r>
              <w:rPr>
                <w:sz w:val="19"/>
              </w:rPr>
              <w:t>Response rates and anonymity</w:t>
            </w:r>
          </w:p>
        </w:tc>
      </w:tr>
      <w:tr>
        <w:tc>
          <w:tcPr>
            <w:tcW w:type="dxa" w:w="699"/>
            <w:vAlign w:val="center"/>
            <w:shd w:val="clear" w:color="auto" w:fill="F0EAFB"/>
          </w:tcPr>
          <w:p>
            <w:pPr>
              <w:spacing w:after="0"/>
              <w:jc w:val="center"/>
            </w:pPr>
            <w:r/>
            <w:r>
              <w:rPr>
                <w:sz w:val="19"/>
              </w:rPr>
              <w:t>8</w:t>
            </w:r>
          </w:p>
        </w:tc>
        <w:tc>
          <w:tcPr>
            <w:tcW w:type="dxa" w:w="1630"/>
            <w:vAlign w:val="center"/>
            <w:shd w:val="clear" w:color="auto" w:fill="F0EAFB"/>
          </w:tcPr>
          <w:p>
            <w:pPr>
              <w:spacing w:after="0"/>
              <w:jc w:val="left"/>
            </w:pPr>
            <w:r/>
            <w:r>
              <w:rPr>
                <w:sz w:val="19"/>
              </w:rPr>
              <w:t>21–25 Jul</w:t>
            </w:r>
          </w:p>
        </w:tc>
        <w:tc>
          <w:tcPr>
            <w:tcW w:type="dxa" w:w="3785"/>
            <w:vAlign w:val="center"/>
            <w:shd w:val="clear" w:color="auto" w:fill="F0EAFB"/>
          </w:tcPr>
          <w:p>
            <w:pPr>
              <w:spacing w:after="0"/>
              <w:jc w:val="left"/>
            </w:pPr>
            <w:r/>
            <w:r>
              <w:rPr>
                <w:sz w:val="19"/>
              </w:rPr>
              <w:t>Final presentation</w:t>
            </w:r>
          </w:p>
        </w:tc>
        <w:tc>
          <w:tcPr>
            <w:tcW w:type="dxa" w:w="2911"/>
            <w:vAlign w:val="center"/>
            <w:shd w:val="clear" w:color="auto" w:fill="F0EAFB"/>
          </w:tcPr>
          <w:p>
            <w:pPr>
              <w:spacing w:after="0"/>
              <w:jc w:val="left"/>
            </w:pPr>
            <w:r/>
            <w:r>
              <w:rPr>
                <w:sz w:val="19"/>
              </w:rPr>
              <w:t>Presenting recommendations</w:t>
            </w:r>
          </w:p>
        </w:tc>
      </w:tr>
    </w:tbl>
    <w:p>
      <w:pPr>
        <w:spacing w:after="80"/>
      </w:pPr>
    </w:p>
    <w:p>
      <w:pPr>
        <w:pStyle w:val="Heading1"/>
      </w:pPr>
      <w:r>
        <w:t>04  Projects Undertaken</w:t>
      </w:r>
    </w:p>
    <w:p>
      <w:pPr>
        <w:pStyle w:val="Heading2"/>
      </w:pPr>
      <w:r>
        <w:t>Project 1: Attrition analysis</w:t>
      </w:r>
    </w:p>
    <w:p>
      <w:r>
        <w:rPr>
          <w:b/>
          <w:color w:val="6D28D9"/>
        </w:rPr>
        <w:t xml:space="preserve">Problem: </w:t>
      </w:r>
      <w:r>
        <w:t>Early attrition among new associates was high.</w:t>
      </w:r>
    </w:p>
    <w:p>
      <w:r>
        <w:rPr>
          <w:b/>
          <w:color w:val="6D28D9"/>
        </w:rPr>
        <w:t xml:space="preserve">Approach: </w:t>
      </w:r>
      <w:r>
        <w:t>Analysed exit interviews and tenure data by site and shift.</w:t>
      </w:r>
    </w:p>
    <w:p>
      <w:r>
        <w:rPr>
          <w:b/>
          <w:color w:val="6D28D9"/>
        </w:rPr>
        <w:t xml:space="preserve">Outcome: </w:t>
      </w:r>
      <w:r>
        <w:t>Recommended a buddy system and clearer shift information at hiring.</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2835" w:hRule="exact"/>
        </w:trPr>
        <w:tc>
          <w:tcPr>
            <w:tcW w:type="dxa" w:w="9026"/>
            <w:shd w:val="clear" w:color="auto" w:fill="F0EAFB"/>
            <w:vAlign w:val="center"/>
          </w:tcPr>
          <w:p>
            <w:pPr>
              <w:jc w:val="center"/>
            </w:pPr>
            <w:r>
              <w:rPr>
                <w:color w:val="74777A"/>
                <w:sz w:val="20"/>
              </w:rPr>
              <w:t>Figure placeholder — screenshot, drawing or photo of your work</w:t>
            </w:r>
          </w:p>
        </w:tc>
      </w:tr>
    </w:tbl>
    <w:p>
      <w:pPr>
        <w:pStyle w:val="Caption"/>
        <w:spacing w:before="80"/>
        <w:jc w:val="center"/>
      </w:pPr>
      <w:r>
        <w:t>Figure 1: Attrition analysis</w:t>
      </w:r>
    </w:p>
    <w:p>
      <w:pPr>
        <w:pStyle w:val="Heading2"/>
      </w:pPr>
      <w:r>
        <w:t>Project 2: Engagement pulse survey</w:t>
      </w:r>
    </w:p>
    <w:p>
      <w:r>
        <w:rPr>
          <w:b/>
          <w:color w:val="6D28D9"/>
        </w:rPr>
        <w:t xml:space="preserve">Problem: </w:t>
      </w:r>
      <w:r>
        <w:t>HR wanted a quick view of employee sentiment.</w:t>
      </w:r>
    </w:p>
    <w:p>
      <w:r>
        <w:rPr>
          <w:b/>
          <w:color w:val="6D28D9"/>
        </w:rPr>
        <w:t xml:space="preserve">Approach: </w:t>
      </w:r>
      <w:r>
        <w:t>Designed a 12-question anonymous survey in two languages.</w:t>
      </w:r>
    </w:p>
    <w:p>
      <w:r>
        <w:rPr>
          <w:b/>
          <w:color w:val="6D28D9"/>
        </w:rPr>
        <w:t xml:space="preserve">Outcome: </w:t>
      </w:r>
      <w:r>
        <w:t>Results shared with site managers with action points.</w:t>
      </w:r>
    </w:p>
    <w:tbl>
      <w:tblPr>
        <w:tblLayout w:type="fixed"/>
        <w:tblLook w:firstColumn="1" w:firstRow="1" w:lastColumn="0" w:lastRow="0" w:noHBand="0" w:noVBand="1" w:val="04A0"/>
        <w:tblW w:w="9026"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026"/>
      </w:tblGrid>
      <w:tr>
        <w:trPr>
          <w:trHeight w:val="2835" w:hRule="exact"/>
        </w:trPr>
        <w:tc>
          <w:tcPr>
            <w:tcW w:type="dxa" w:w="9026"/>
            <w:shd w:val="clear" w:color="auto" w:fill="F0EAFB"/>
            <w:vAlign w:val="center"/>
          </w:tcPr>
          <w:p>
            <w:pPr>
              <w:jc w:val="center"/>
            </w:pPr>
            <w:r>
              <w:rPr>
                <w:color w:val="74777A"/>
                <w:sz w:val="20"/>
              </w:rPr>
              <w:t>Figure placeholder — screenshot, drawing or photo of your work</w:t>
            </w:r>
          </w:p>
        </w:tc>
      </w:tr>
    </w:tbl>
    <w:p>
      <w:pPr>
        <w:pStyle w:val="Caption"/>
        <w:spacing w:before="80"/>
        <w:jc w:val="center"/>
      </w:pPr>
      <w:r>
        <w:t>Figure 2: Engagement pulse survey</w:t>
      </w:r>
    </w:p>
    <w:p>
      <w:pPr>
        <w:pStyle w:val="Heading1"/>
      </w:pPr>
      <w:r>
        <w:t>05  Skills and Learning Outcomes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521EA3"/>
          </w:tcPr>
          <w:p>
            <w:pPr>
              <w:spacing w:after="0"/>
            </w:pPr>
            <w:r/>
            <w:r>
              <w:rPr>
                <w:b/>
                <w:color w:val="FFFFFF"/>
                <w:sz w:val="19"/>
              </w:rPr>
              <w:t>Skill area</w:t>
            </w:r>
          </w:p>
        </w:tc>
        <w:tc>
          <w:tcPr>
            <w:tcW w:type="dxa" w:w="6447"/>
            <w:vAlign w:val="center"/>
            <w:shd w:val="clear" w:color="auto" w:fill="521EA3"/>
          </w:tcPr>
          <w:p>
            <w:pPr>
              <w:spacing w:after="0"/>
            </w:pPr>
            <w:r/>
            <w:r>
              <w:rPr>
                <w:b/>
                <w:color w:val="FFFFFF"/>
                <w:sz w:val="19"/>
              </w:rPr>
              <w:t>What I learned</w:t>
            </w:r>
          </w:p>
        </w:tc>
      </w:tr>
      <w:tr>
        <w:tc>
          <w:tcPr>
            <w:tcW w:type="dxa" w:w="2579"/>
            <w:vAlign w:val="center"/>
          </w:tcPr>
          <w:p>
            <w:pPr>
              <w:spacing w:after="0"/>
            </w:pPr>
            <w:r/>
            <w:r>
              <w:rPr>
                <w:sz w:val="19"/>
              </w:rPr>
              <w:t>HR</w:t>
            </w:r>
          </w:p>
        </w:tc>
        <w:tc>
          <w:tcPr>
            <w:tcW w:type="dxa" w:w="6447"/>
            <w:vAlign w:val="center"/>
          </w:tcPr>
          <w:p>
            <w:pPr>
              <w:spacing w:after="0"/>
            </w:pPr>
            <w:r/>
            <w:r>
              <w:rPr>
                <w:sz w:val="19"/>
              </w:rPr>
              <w:t>Recruitment, onboarding, attrition analysis</w:t>
            </w:r>
          </w:p>
        </w:tc>
      </w:tr>
      <w:tr>
        <w:tc>
          <w:tcPr>
            <w:tcW w:type="dxa" w:w="2579"/>
            <w:vAlign w:val="center"/>
            <w:shd w:val="clear" w:color="auto" w:fill="F0EAFB"/>
          </w:tcPr>
          <w:p>
            <w:pPr>
              <w:spacing w:after="0"/>
            </w:pPr>
            <w:r/>
            <w:r>
              <w:rPr>
                <w:sz w:val="19"/>
              </w:rPr>
              <w:t>Analytics</w:t>
            </w:r>
          </w:p>
        </w:tc>
        <w:tc>
          <w:tcPr>
            <w:tcW w:type="dxa" w:w="6447"/>
            <w:vAlign w:val="center"/>
            <w:shd w:val="clear" w:color="auto" w:fill="F0EAFB"/>
          </w:tcPr>
          <w:p>
            <w:pPr>
              <w:spacing w:after="0"/>
            </w:pPr>
            <w:r/>
            <w:r>
              <w:rPr>
                <w:sz w:val="19"/>
              </w:rPr>
              <w:t>Excel pivots and charts</w:t>
            </w:r>
          </w:p>
        </w:tc>
      </w:tr>
      <w:tr>
        <w:tc>
          <w:tcPr>
            <w:tcW w:type="dxa" w:w="2579"/>
            <w:vAlign w:val="center"/>
          </w:tcPr>
          <w:p>
            <w:pPr>
              <w:spacing w:after="0"/>
            </w:pPr>
            <w:r/>
            <w:r>
              <w:rPr>
                <w:sz w:val="19"/>
              </w:rPr>
              <w:t>Professional</w:t>
            </w:r>
          </w:p>
        </w:tc>
        <w:tc>
          <w:tcPr>
            <w:tcW w:type="dxa" w:w="6447"/>
            <w:vAlign w:val="center"/>
          </w:tcPr>
          <w:p>
            <w:pPr>
              <w:spacing w:after="0"/>
            </w:pPr>
            <w:r/>
            <w:r>
              <w:rPr>
                <w:sz w:val="19"/>
              </w:rPr>
              <w:t>Empathy, confidentiality, communication</w:t>
            </w:r>
          </w:p>
        </w:tc>
      </w:tr>
    </w:tbl>
    <w:p>
      <w:pPr>
        <w:spacing w:after="80"/>
      </w:pPr>
    </w:p>
    <w:p>
      <w:pPr>
        <w:pStyle w:val="Heading2"/>
      </w:pPr>
      <w:r>
        <w:t>Challenges Faced</w:t>
      </w:r>
    </w:p>
    <w:p>
      <w:pPr>
        <w:pStyle w:val="ListBullet"/>
      </w:pPr>
      <w:r>
        <w:t>Reaching employees across shifts</w:t>
      </w:r>
    </w:p>
    <w:p>
      <w:pPr>
        <w:pStyle w:val="ListBullet"/>
      </w:pPr>
      <w:r>
        <w:t>Language differences in surveys</w:t>
      </w:r>
    </w:p>
    <w:p>
      <w:pPr>
        <w:pStyle w:val="Heading1"/>
      </w:pPr>
      <w:r>
        <w:t>06  Conclusion</w:t>
      </w:r>
    </w:p>
    <w:p>
      <w:pPr>
        <w:jc w:val="both"/>
      </w:pPr>
      <w:r>
        <w:t>The internship showed me how HR directly affects operations, and how listening to employees leads to practical improvements.</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0EAFB"/>
            <w:tcBorders>
              <w:left w:val="single" w:sz="36" w:space="0" w:color="6D28D9"/>
            </w:tcBorders>
          </w:tcPr>
          <w:p>
            <w:pPr>
              <w:spacing w:after="60"/>
            </w:pPr>
            <w:r>
              <w:rPr>
                <w:b/>
                <w:color w:val="6D28D9"/>
              </w:rPr>
              <w:t>Suggestions for future interns</w:t>
            </w:r>
          </w:p>
          <w:p>
            <w:pPr>
              <w:spacing w:after="0"/>
            </w:pPr>
            <w:r>
              <w:t>Visit the shop floor or warehouse early; HR decisions make more sense once you see the work.</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933"/>
        <w:gridCol w:w="1556"/>
        <w:gridCol w:w="4668"/>
        <w:gridCol w:w="1867"/>
      </w:tblGrid>
      <w:tr>
        <w:trPr>
          <w:tblHeader/>
        </w:trPr>
        <w:tc>
          <w:tcPr>
            <w:tcW w:type="dxa" w:w="934"/>
            <w:vAlign w:val="center"/>
            <w:shd w:val="clear" w:color="auto" w:fill="521EA3"/>
          </w:tcPr>
          <w:p>
            <w:pPr>
              <w:spacing w:after="0"/>
              <w:jc w:val="center"/>
            </w:pPr>
            <w:r/>
            <w:r>
              <w:rPr>
                <w:b/>
                <w:color w:val="FFFFFF"/>
                <w:sz w:val="19"/>
              </w:rPr>
              <w:t>Week</w:t>
            </w:r>
          </w:p>
        </w:tc>
        <w:tc>
          <w:tcPr>
            <w:tcW w:type="dxa" w:w="1556"/>
            <w:vAlign w:val="center"/>
            <w:shd w:val="clear" w:color="auto" w:fill="521EA3"/>
          </w:tcPr>
          <w:p>
            <w:pPr>
              <w:spacing w:after="0"/>
              <w:jc w:val="center"/>
            </w:pPr>
            <w:r/>
            <w:r>
              <w:rPr>
                <w:b/>
                <w:color w:val="FFFFFF"/>
                <w:sz w:val="19"/>
              </w:rPr>
              <w:t>Days present</w:t>
            </w:r>
          </w:p>
        </w:tc>
        <w:tc>
          <w:tcPr>
            <w:tcW w:type="dxa" w:w="4668"/>
            <w:vAlign w:val="center"/>
            <w:shd w:val="clear" w:color="auto" w:fill="521EA3"/>
          </w:tcPr>
          <w:p>
            <w:pPr>
              <w:spacing w:after="0"/>
              <w:jc w:val="left"/>
            </w:pPr>
            <w:r/>
            <w:r>
              <w:rPr>
                <w:b/>
                <w:color w:val="FFFFFF"/>
                <w:sz w:val="19"/>
              </w:rPr>
              <w:t>Mentor remarks</w:t>
            </w:r>
          </w:p>
        </w:tc>
        <w:tc>
          <w:tcPr>
            <w:tcW w:type="dxa" w:w="1867"/>
            <w:vAlign w:val="center"/>
            <w:shd w:val="clear" w:color="auto" w:fill="521EA3"/>
          </w:tcPr>
          <w:p>
            <w:pPr>
              <w:spacing w:after="0"/>
              <w:jc w:val="center"/>
            </w:pPr>
            <w:r/>
            <w:r>
              <w:rPr>
                <w:b/>
                <w:color w:val="FFFFFF"/>
                <w:sz w:val="19"/>
              </w:rPr>
              <w:t>Mentor sign</w:t>
            </w:r>
          </w:p>
        </w:tc>
      </w:tr>
      <w:tr>
        <w:tc>
          <w:tcPr>
            <w:tcW w:type="dxa" w:w="934"/>
            <w:vAlign w:val="center"/>
          </w:tcPr>
          <w:p>
            <w:pPr>
              <w:spacing w:after="0"/>
              <w:jc w:val="center"/>
            </w:pPr>
            <w:r/>
            <w:r>
              <w:rPr>
                <w:sz w:val="19"/>
              </w:rPr>
              <w:t>1</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r>
        <w:tc>
          <w:tcPr>
            <w:tcW w:type="dxa" w:w="934"/>
            <w:vAlign w:val="center"/>
          </w:tcPr>
          <w:p>
            <w:pPr>
              <w:spacing w:after="0"/>
              <w:jc w:val="center"/>
            </w:pPr>
            <w:r/>
            <w:r>
              <w:rPr>
                <w:sz w:val="19"/>
              </w:rPr>
              <w:t>2</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r>
        <w:tc>
          <w:tcPr>
            <w:tcW w:type="dxa" w:w="934"/>
            <w:vAlign w:val="center"/>
          </w:tcPr>
          <w:p>
            <w:pPr>
              <w:spacing w:after="0"/>
              <w:jc w:val="center"/>
            </w:pPr>
            <w:r/>
            <w:r>
              <w:rPr>
                <w:sz w:val="19"/>
              </w:rPr>
              <w:t>3</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r>
        <w:tc>
          <w:tcPr>
            <w:tcW w:type="dxa" w:w="934"/>
            <w:vAlign w:val="center"/>
          </w:tcPr>
          <w:p>
            <w:pPr>
              <w:spacing w:after="0"/>
              <w:jc w:val="center"/>
            </w:pPr>
            <w:r/>
            <w:r>
              <w:rPr>
                <w:sz w:val="19"/>
              </w:rPr>
              <w:t>4</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r>
        <w:tc>
          <w:tcPr>
            <w:tcW w:type="dxa" w:w="934"/>
            <w:vAlign w:val="center"/>
          </w:tcPr>
          <w:p>
            <w:pPr>
              <w:spacing w:after="0"/>
              <w:jc w:val="center"/>
            </w:pPr>
            <w:r/>
            <w:r>
              <w:rPr>
                <w:sz w:val="19"/>
              </w:rPr>
              <w:t>5</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r>
        <w:tc>
          <w:tcPr>
            <w:tcW w:type="dxa" w:w="934"/>
            <w:vAlign w:val="center"/>
          </w:tcPr>
          <w:p>
            <w:pPr>
              <w:spacing w:after="0"/>
              <w:jc w:val="center"/>
            </w:pPr>
            <w:r/>
            <w:r>
              <w:rPr>
                <w:sz w:val="19"/>
              </w:rPr>
              <w:t>6</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r>
        <w:tc>
          <w:tcPr>
            <w:tcW w:type="dxa" w:w="934"/>
            <w:vAlign w:val="center"/>
          </w:tcPr>
          <w:p>
            <w:pPr>
              <w:spacing w:after="0"/>
              <w:jc w:val="center"/>
            </w:pPr>
            <w:r/>
            <w:r>
              <w:rPr>
                <w:sz w:val="19"/>
              </w:rPr>
              <w:t>7</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r>
        <w:tc>
          <w:tcPr>
            <w:tcW w:type="dxa" w:w="934"/>
            <w:vAlign w:val="center"/>
          </w:tcPr>
          <w:p>
            <w:pPr>
              <w:spacing w:after="0"/>
              <w:jc w:val="center"/>
            </w:pPr>
            <w:r/>
            <w:r>
              <w:rPr>
                <w:sz w:val="19"/>
              </w:rPr>
              <w:t>8</w:t>
            </w:r>
          </w:p>
        </w:tc>
        <w:tc>
          <w:tcPr>
            <w:tcW w:type="dxa" w:w="1556"/>
            <w:vAlign w:val="center"/>
          </w:tcPr>
          <w:p>
            <w:pPr>
              <w:spacing w:after="0"/>
              <w:jc w:val="center"/>
            </w:pPr>
            <w:r/>
            <w:r>
              <w:rPr>
                <w:sz w:val="19"/>
              </w:rPr>
              <w:t>5 / 5</w:t>
            </w:r>
          </w:p>
        </w:tc>
        <w:tc>
          <w:tcPr>
            <w:tcW w:type="dxa" w:w="4668"/>
            <w:vAlign w:val="center"/>
          </w:tcPr>
          <w:p>
            <w:pPr>
              <w:spacing w:after="0"/>
              <w:jc w:val="left"/>
            </w:pPr>
            <w:r/>
            <w:r>
              <w:rPr>
                <w:sz w:val="19"/>
              </w:rPr>
            </w:r>
          </w:p>
        </w:tc>
        <w:tc>
          <w:tcPr>
            <w:tcW w:type="dxa" w:w="1867"/>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223"/>
        <w:gridCol w:w="1418"/>
        <w:gridCol w:w="1418"/>
        <w:gridCol w:w="1418"/>
        <w:gridCol w:w="1547"/>
      </w:tblGrid>
      <w:tr>
        <w:trPr>
          <w:tblHeader/>
        </w:trPr>
        <w:tc>
          <w:tcPr>
            <w:tcW w:type="dxa" w:w="3223"/>
            <w:vAlign w:val="center"/>
            <w:shd w:val="clear" w:color="auto" w:fill="521EA3"/>
          </w:tcPr>
          <w:p>
            <w:pPr>
              <w:spacing w:after="0"/>
              <w:jc w:val="left"/>
            </w:pPr>
            <w:r/>
            <w:r>
              <w:rPr>
                <w:b/>
                <w:color w:val="FFFFFF"/>
                <w:sz w:val="19"/>
              </w:rPr>
              <w:t>Criterion</w:t>
            </w:r>
          </w:p>
        </w:tc>
        <w:tc>
          <w:tcPr>
            <w:tcW w:type="dxa" w:w="1418"/>
            <w:vAlign w:val="center"/>
            <w:shd w:val="clear" w:color="auto" w:fill="521EA3"/>
          </w:tcPr>
          <w:p>
            <w:pPr>
              <w:spacing w:after="0"/>
              <w:jc w:val="center"/>
            </w:pPr>
            <w:r/>
            <w:r>
              <w:rPr>
                <w:b/>
                <w:color w:val="FFFFFF"/>
                <w:sz w:val="19"/>
              </w:rPr>
              <w:t>Excellent</w:t>
            </w:r>
          </w:p>
        </w:tc>
        <w:tc>
          <w:tcPr>
            <w:tcW w:type="dxa" w:w="1418"/>
            <w:vAlign w:val="center"/>
            <w:shd w:val="clear" w:color="auto" w:fill="521EA3"/>
          </w:tcPr>
          <w:p>
            <w:pPr>
              <w:spacing w:after="0"/>
              <w:jc w:val="center"/>
            </w:pPr>
            <w:r/>
            <w:r>
              <w:rPr>
                <w:b/>
                <w:color w:val="FFFFFF"/>
                <w:sz w:val="19"/>
              </w:rPr>
              <w:t>Good</w:t>
            </w:r>
          </w:p>
        </w:tc>
        <w:tc>
          <w:tcPr>
            <w:tcW w:type="dxa" w:w="1418"/>
            <w:vAlign w:val="center"/>
            <w:shd w:val="clear" w:color="auto" w:fill="521EA3"/>
          </w:tcPr>
          <w:p>
            <w:pPr>
              <w:spacing w:after="0"/>
              <w:jc w:val="center"/>
            </w:pPr>
            <w:r/>
            <w:r>
              <w:rPr>
                <w:b/>
                <w:color w:val="FFFFFF"/>
                <w:sz w:val="19"/>
              </w:rPr>
              <w:t>Average</w:t>
            </w:r>
          </w:p>
        </w:tc>
        <w:tc>
          <w:tcPr>
            <w:tcW w:type="dxa" w:w="1547"/>
            <w:vAlign w:val="center"/>
            <w:shd w:val="clear" w:color="auto" w:fill="521EA3"/>
          </w:tcPr>
          <w:p>
            <w:pPr>
              <w:spacing w:after="0"/>
              <w:jc w:val="center"/>
            </w:pPr>
            <w:r/>
            <w:r>
              <w:rPr>
                <w:b/>
                <w:color w:val="FFFFFF"/>
                <w:sz w:val="19"/>
              </w:rPr>
              <w:t>Needs work</w:t>
            </w:r>
          </w:p>
        </w:tc>
      </w:tr>
      <w:tr>
        <w:tc>
          <w:tcPr>
            <w:tcW w:type="dxa" w:w="3223"/>
            <w:vAlign w:val="center"/>
          </w:tcPr>
          <w:p>
            <w:pPr>
              <w:spacing w:after="0"/>
              <w:jc w:val="left"/>
            </w:pPr>
            <w:r/>
            <w:r>
              <w:rPr>
                <w:sz w:val="19"/>
              </w:rPr>
              <w:t>Technical skills</w:t>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547"/>
            <w:vAlign w:val="center"/>
          </w:tcPr>
          <w:p>
            <w:pPr>
              <w:spacing w:after="0"/>
              <w:jc w:val="center"/>
            </w:pPr>
            <w:r/>
            <w:r>
              <w:rPr>
                <w:sz w:val="19"/>
              </w:rPr>
            </w:r>
          </w:p>
        </w:tc>
      </w:tr>
      <w:tr>
        <w:tc>
          <w:tcPr>
            <w:tcW w:type="dxa" w:w="3223"/>
            <w:vAlign w:val="center"/>
          </w:tcPr>
          <w:p>
            <w:pPr>
              <w:spacing w:after="0"/>
              <w:jc w:val="left"/>
            </w:pPr>
            <w:r/>
            <w:r>
              <w:rPr>
                <w:sz w:val="19"/>
              </w:rPr>
              <w:t>Communication</w:t>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547"/>
            <w:vAlign w:val="center"/>
          </w:tcPr>
          <w:p>
            <w:pPr>
              <w:spacing w:after="0"/>
              <w:jc w:val="center"/>
            </w:pPr>
            <w:r/>
            <w:r>
              <w:rPr>
                <w:sz w:val="19"/>
              </w:rPr>
            </w:r>
          </w:p>
        </w:tc>
      </w:tr>
      <w:tr>
        <w:tc>
          <w:tcPr>
            <w:tcW w:type="dxa" w:w="3223"/>
            <w:vAlign w:val="center"/>
          </w:tcPr>
          <w:p>
            <w:pPr>
              <w:spacing w:after="0"/>
              <w:jc w:val="left"/>
            </w:pPr>
            <w:r/>
            <w:r>
              <w:rPr>
                <w:sz w:val="19"/>
              </w:rPr>
              <w:t>Punctuality</w:t>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547"/>
            <w:vAlign w:val="center"/>
          </w:tcPr>
          <w:p>
            <w:pPr>
              <w:spacing w:after="0"/>
              <w:jc w:val="center"/>
            </w:pPr>
            <w:r/>
            <w:r>
              <w:rPr>
                <w:sz w:val="19"/>
              </w:rPr>
            </w:r>
          </w:p>
        </w:tc>
      </w:tr>
      <w:tr>
        <w:tc>
          <w:tcPr>
            <w:tcW w:type="dxa" w:w="3223"/>
            <w:vAlign w:val="center"/>
          </w:tcPr>
          <w:p>
            <w:pPr>
              <w:spacing w:after="0"/>
              <w:jc w:val="left"/>
            </w:pPr>
            <w:r/>
            <w:r>
              <w:rPr>
                <w:sz w:val="19"/>
              </w:rPr>
              <w:t>Teamwork</w:t>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547"/>
            <w:vAlign w:val="center"/>
          </w:tcPr>
          <w:p>
            <w:pPr>
              <w:spacing w:after="0"/>
              <w:jc w:val="center"/>
            </w:pPr>
            <w:r/>
            <w:r>
              <w:rPr>
                <w:sz w:val="19"/>
              </w:rPr>
            </w:r>
          </w:p>
        </w:tc>
      </w:tr>
      <w:tr>
        <w:tc>
          <w:tcPr>
            <w:tcW w:type="dxa" w:w="3223"/>
            <w:vAlign w:val="center"/>
          </w:tcPr>
          <w:p>
            <w:pPr>
              <w:spacing w:after="0"/>
              <w:jc w:val="left"/>
            </w:pPr>
            <w:r/>
            <w:r>
              <w:rPr>
                <w:sz w:val="19"/>
              </w:rPr>
              <w:t>Initiative</w:t>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418"/>
            <w:vAlign w:val="center"/>
          </w:tcPr>
          <w:p>
            <w:pPr>
              <w:spacing w:after="0"/>
              <w:jc w:val="center"/>
            </w:pPr>
            <w:r/>
            <w:r>
              <w:rPr>
                <w:sz w:val="19"/>
              </w:rPr>
            </w:r>
          </w:p>
        </w:tc>
        <w:tc>
          <w:tcPr>
            <w:tcW w:type="dxa" w:w="1547"/>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FD0"/>
      </w:pBdr>
    </w:pPr>
    <w:r/>
    <w:r>
      <w:rPr>
        <w:caps w:val="0"/>
        <w:color w:val="74777A"/>
        <w:sz w:val="17"/>
      </w:rPr>
      <w:t>Internship Report · SwiftRoute Logistics</w:t>
    </w:r>
    <w:r>
      <w:rPr>
        <w:color w:val="74777A"/>
        <w:sz w:val="17"/>
      </w:rPr>
      <w:tab/>
      <w:t>Kritika Sharma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bottom w:val="single" w:sz="8" w:space="6" w:color="6D28D9"/>
      </w:pBdr>
    </w:pPr>
    <w:rPr>
      <w:rFonts w:ascii="Roboto" w:hAnsi="Roboto" w:cs="Roboto" w:eastAsia="Roboto"/>
      <w:b/>
      <w:bCs/>
      <w:i w:val="0"/>
      <w:caps/>
      <w:color w:val="1F2328"/>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6D28D9"/>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F2328"/>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F2328"/>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Roboto" w:hAnsi="Roboto" w:cs="Roboto" w:eastAsia="Roboto"/>
      <w:b/>
      <w:sz w:val="23"/>
      <w:szCs w:val="23"/>
    </w:rPr>
  </w:style>
  <w:style w:type="paragraph" w:customStyle="1" w:styleId="TOC2">
    <w:name w:val="TOC 2"/>
    <w:basedOn w:val="Normal"/>
    <w:pPr>
      <w:tabs>
        <w:tab w:pos="9026"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