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200" w:type="dxa"/>
          <w:left w:w="500" w:type="dxa"/>
          <w:bottom w:w="200" w:type="dxa"/>
          <w:right w:w="300" w:type="dxa"/>
        </w:tblCellMar>
      </w:tblPr>
      <w:tblGrid>
        <w:gridCol w:w="1814"/>
        <w:gridCol w:w="7597"/>
      </w:tblGrid>
      <w:tr>
        <w:trPr>
          <w:trHeight w:val="14071" w:hRule="exact"/>
        </w:trPr>
        <w:tc>
          <w:tcPr>
            <w:tcW w:type="dxa" w:w="1814"/>
            <w:shd w:val="clear" w:color="auto" w:fill="7C2D12"/>
          </w:tcPr>
          <w:p>
            <w:r>
              <w:rPr>
                <w:b/>
                <w:i w:val="0"/>
                <w:color w:val="FFFFFF"/>
                <w:sz w:val="22"/>
              </w:rPr>
              <w:t>2026</w:t>
            </w:r>
          </w:p>
        </w:tc>
        <w:tc>
          <w:tcPr>
            <w:tcW w:type="dxa" w:w="7597"/>
            <w:vAlign w:val="center"/>
          </w:tcPr>
          <w:p>
            <w:pPr>
              <w:spacing w:after="320"/>
            </w:pPr>
            <w:r>
              <w:rPr>
                <w:b/>
                <w:i w:val="0"/>
                <w:caps/>
                <w:color w:val="7C2D12"/>
                <w:sz w:val="20"/>
                <w:spacing w:val="40"/>
              </w:rPr>
              <w:t>Summer Internship Report · May–June 2025</w:t>
            </w:r>
          </w:p>
          <w:p>
            <w:pPr>
              <w:pStyle w:val="Title"/>
            </w:pPr>
            <w:r>
              <w:t>Internship Report</w:t>
            </w:r>
          </w:p>
          <w:p>
            <w:pPr>
              <w:spacing w:after="800"/>
            </w:pPr>
            <w:r>
              <w:rPr>
                <w:b w:val="0"/>
                <w:i w:val="0"/>
                <w:color w:val="6B7079"/>
                <w:sz w:val="26"/>
              </w:rPr>
              <w:t>Laboratory Quality Intern at CarePlus Diagnostics</w:t>
            </w:r>
          </w:p>
          <w:p>
            <w:pPr>
              <w:spacing w:after="0"/>
            </w:pPr>
            <w:r>
              <w:rPr>
                <w:b/>
                <w:i w:val="0"/>
                <w:color w:val="6B7079"/>
                <w:sz w:val="16"/>
                <w:spacing w:val="30"/>
              </w:rPr>
              <w:t>SUBMITTED BY</w:t>
            </w:r>
          </w:p>
          <w:p>
            <w:pPr>
              <w:spacing w:after="200"/>
            </w:pPr>
            <w:r>
              <w:rPr>
                <w:b/>
                <w:i w:val="0"/>
                <w:color w:val="111827"/>
                <w:sz w:val="22"/>
              </w:rPr>
              <w:t>Sana Fatima</w:t>
              <w:br/>
              <w:t>Roll No. BSc23-MLT12</w:t>
            </w:r>
          </w:p>
          <w:p>
            <w:pPr>
              <w:spacing w:after="0"/>
            </w:pPr>
            <w:r>
              <w:rPr>
                <w:b/>
                <w:i w:val="0"/>
                <w:color w:val="6B7079"/>
                <w:sz w:val="16"/>
                <w:spacing w:val="30"/>
              </w:rPr>
              <w:t>ORGANISATION</w:t>
            </w:r>
          </w:p>
          <w:p>
            <w:pPr>
              <w:spacing w:after="200"/>
            </w:pPr>
            <w:r>
              <w:rPr>
                <w:b/>
                <w:i w:val="0"/>
                <w:color w:val="111827"/>
                <w:sz w:val="22"/>
              </w:rPr>
              <w:t>CarePlus Diagnostics, Hyderabad</w:t>
            </w:r>
          </w:p>
          <w:p>
            <w:pPr>
              <w:spacing w:after="0"/>
            </w:pPr>
            <w:r>
              <w:rPr>
                <w:b/>
                <w:i w:val="0"/>
                <w:color w:val="6B7079"/>
                <w:sz w:val="16"/>
                <w:spacing w:val="30"/>
              </w:rPr>
              <w:t>FACULTY MENTOR</w:t>
            </w:r>
          </w:p>
          <w:p>
            <w:pPr>
              <w:spacing w:after="200"/>
            </w:pPr>
            <w:r>
              <w:rPr>
                <w:b/>
                <w:i w:val="0"/>
                <w:color w:val="111827"/>
                <w:sz w:val="22"/>
              </w:rPr>
              <w:t>Dr. K. Lakshmi</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7C2D12"/>
          <w:left w:val="thinThickSmallGap" w:sz="18" w:space="0" w:color="7C2D12"/>
          <w:bottom w:val="thinThickSmallGap" w:sz="18" w:space="0" w:color="7C2D12"/>
          <w:right w:val="thinThickSmallGap" w:sz="18" w:space="0" w:color="7C2D12"/>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Outfit" w:hAnsi="Outfit" w:cs="Outfit" w:eastAsia="Outfit"/>
                <w:b/>
                <w:color w:val="7C2D12"/>
                <w:sz w:val="44"/>
              </w:rPr>
              <w:t>INTERNSHIP CERTIFICATE</w:t>
            </w:r>
          </w:p>
          <w:p>
            <w:pPr>
              <w:spacing w:after="240" w:line="360" w:lineRule="auto"/>
              <w:jc w:val="both"/>
            </w:pPr>
            <w:r>
              <w:t>This is to certify that Sana Fatima, a student of Bachelor Of Science (Medical Laboratory Technology) at Your College of Allied Health Sciences, Hyderabad, has successfully completed an internship with CarePlus Diagnostics, Hyderabad, as Laboratory Quality Intern from 5 May 2025 to 27 June 2025.</w:t>
            </w:r>
          </w:p>
          <w:p>
            <w:pPr>
              <w:spacing w:after="240" w:line="360" w:lineRule="auto"/>
              <w:jc w:val="both"/>
            </w:pPr>
            <w:r>
              <w:t>During the internship the student worked with our Quality Assurance team and contributed to qc chart digitisation.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705"/>
              <w:gridCol w:w="4705"/>
            </w:tblGrid>
            <w:tr>
              <w:tc>
                <w:tcPr>
                  <w:tcW w:type="dxa" w:w="4705"/>
                </w:tcPr>
                <w:p>
                  <w:pPr>
                    <w:jc w:val="center"/>
                  </w:pPr>
                  <w:r>
                    <w:t>______________________</w:t>
                  </w:r>
                </w:p>
              </w:tc>
              <w:tc>
                <w:tcPr>
                  <w:tcW w:type="dxa" w:w="4705"/>
                </w:tcPr>
                <w:p>
                  <w:pPr>
                    <w:jc w:val="center"/>
                  </w:pPr>
                  <w:r>
                    <w:t>______________________</w:t>
                  </w:r>
                </w:p>
              </w:tc>
            </w:tr>
            <w:tr>
              <w:tc>
                <w:tcPr>
                  <w:tcW w:type="dxa" w:w="4705"/>
                </w:tcPr>
                <w:p>
                  <w:pPr>
                    <w:jc w:val="center"/>
                  </w:pPr>
                  <w:r>
                    <w:rPr>
                      <w:b/>
                    </w:rPr>
                    <w:t>Dr. Ravi Teja</w:t>
                    <w:br/>
                  </w:r>
                  <w:r>
                    <w:rPr>
                      <w:color w:val="6B7079"/>
                    </w:rPr>
                    <w:t>Quality Manager, CarePlus Diagnostics</w:t>
                  </w:r>
                </w:p>
              </w:tc>
              <w:tc>
                <w:tcPr>
                  <w:tcW w:type="dxa" w:w="4705"/>
                </w:tcPr>
                <w:p>
                  <w:pPr>
                    <w:jc w:val="center"/>
                  </w:pPr>
                  <w:r>
                    <w:rPr>
                      <w:b/>
                    </w:rPr>
                    <w:t>HR Department</w:t>
                    <w:br/>
                  </w:r>
                  <w:r>
                    <w:rPr>
                      <w:color w:val="6B7079"/>
                    </w:rPr>
                    <w:t>CarePlus Diagnostics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Medical Laboratory Technology, Your College of Allied Health Sciences, Hyderabad, is a record of the work I carried out at CarePlus Diagnostics from 5 May 2025 to 27 June 2025 under the supervision of Dr. Ravi Teja and the guidance of Dr. K. Lakshmi. The report has not been submitted elsewhere for any degree or diploma.</w:t>
      </w:r>
    </w:p>
    <w:p>
      <w:pPr>
        <w:spacing w:before="480"/>
      </w:pPr>
      <w:r>
        <w:t>Place: ________________        Date: ________________</w:t>
      </w:r>
    </w:p>
    <w:p>
      <w:pPr>
        <w:spacing w:before="600"/>
        <w:jc w:val="right"/>
      </w:pPr>
      <w:r>
        <w:rPr>
          <w:b/>
        </w:rPr>
        <w:t>Sana Fatima</w:t>
      </w:r>
    </w:p>
    <w:p>
      <w:pPr>
        <w:pStyle w:val="Heading1"/>
      </w:pPr>
      <w:r>
        <w:t>Acknowledgement</w:t>
      </w:r>
    </w:p>
    <w:p>
      <w:pPr>
        <w:jc w:val="both"/>
      </w:pPr>
      <w:r>
        <w:t>I am grateful to CarePlus Diagnostics for giving me the opportunity to work as Laboratory Quality Intern and to experience a professional environment first-hand.</w:t>
      </w:r>
    </w:p>
    <w:p>
      <w:pPr>
        <w:jc w:val="both"/>
      </w:pPr>
      <w:r>
        <w:t>I sincerely thank my industry mentor, Dr. Ravi Teja, for patient guidance, regular feedback and for trusting me with real work. I also thank the members of the Quality Assurance team, who welcomed me and answered my questions.</w:t>
      </w:r>
    </w:p>
    <w:p>
      <w:pPr>
        <w:jc w:val="both"/>
      </w:pPr>
      <w:r>
        <w:t>I am thankful to Dr. K. Lakshmi, my faculty mentor, and to the Head of the Department of Medical Laboratory Technology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CarePlus Diagnostics, a chain of diagnostic laboratories offering pathology and imaging services. During the internship I worked as Laboratory Quality Intern in the Quality Assurance team. I observed laboratory workflows, maintained quality-control charts, assisted internal audits and helped update standard operating procedures.</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60" w:type="dxa"/>
          <w:left w:w="110" w:type="dxa"/>
          <w:bottom w:w="60" w:type="dxa"/>
          <w:right w:w="110" w:type="dxa"/>
        </w:tblCellMar>
      </w:tblPr>
      <w:tblGrid>
        <w:gridCol w:w="2381"/>
        <w:gridCol w:w="7030"/>
      </w:tblGrid>
      <w:tr>
        <w:tc>
          <w:tcPr>
            <w:tcW w:type="dxa" w:w="2381"/>
            <w:shd w:val="clear" w:color="auto" w:fill="F2EAE7"/>
          </w:tcPr>
          <w:p>
            <w:pPr>
              <w:spacing w:after="0"/>
            </w:pPr>
            <w:r>
              <w:rPr>
                <w:b/>
              </w:rPr>
              <w:t>Organisation</w:t>
            </w:r>
          </w:p>
        </w:tc>
        <w:tc>
          <w:tcPr>
            <w:tcW w:type="dxa" w:w="7030"/>
          </w:tcPr>
          <w:p>
            <w:pPr>
              <w:spacing w:after="0"/>
            </w:pPr>
            <w:r>
              <w:t>CarePlus Diagnostics, Hyderabad</w:t>
            </w:r>
          </w:p>
        </w:tc>
      </w:tr>
      <w:tr>
        <w:tc>
          <w:tcPr>
            <w:tcW w:type="dxa" w:w="2381"/>
            <w:shd w:val="clear" w:color="auto" w:fill="F2EAE7"/>
          </w:tcPr>
          <w:p>
            <w:pPr>
              <w:spacing w:after="0"/>
            </w:pPr>
            <w:r>
              <w:rPr>
                <w:b/>
              </w:rPr>
              <w:t>Domain</w:t>
            </w:r>
          </w:p>
        </w:tc>
        <w:tc>
          <w:tcPr>
            <w:tcW w:type="dxa" w:w="7030"/>
          </w:tcPr>
          <w:p>
            <w:pPr>
              <w:spacing w:after="0"/>
            </w:pPr>
            <w:r>
              <w:t>Diagnostic laboratory services</w:t>
            </w:r>
          </w:p>
        </w:tc>
      </w:tr>
      <w:tr>
        <w:tc>
          <w:tcPr>
            <w:tcW w:type="dxa" w:w="2381"/>
            <w:shd w:val="clear" w:color="auto" w:fill="F2EAE7"/>
          </w:tcPr>
          <w:p>
            <w:pPr>
              <w:spacing w:after="0"/>
            </w:pPr>
            <w:r>
              <w:rPr>
                <w:b/>
              </w:rPr>
              <w:t>Role</w:t>
            </w:r>
          </w:p>
        </w:tc>
        <w:tc>
          <w:tcPr>
            <w:tcW w:type="dxa" w:w="7030"/>
          </w:tcPr>
          <w:p>
            <w:pPr>
              <w:spacing w:after="0"/>
            </w:pPr>
            <w:r>
              <w:t>Laboratory Quality Intern</w:t>
            </w:r>
          </w:p>
        </w:tc>
      </w:tr>
      <w:tr>
        <w:tc>
          <w:tcPr>
            <w:tcW w:type="dxa" w:w="2381"/>
            <w:shd w:val="clear" w:color="auto" w:fill="F2EAE7"/>
          </w:tcPr>
          <w:p>
            <w:pPr>
              <w:spacing w:after="0"/>
            </w:pPr>
            <w:r>
              <w:rPr>
                <w:b/>
              </w:rPr>
              <w:t>Department</w:t>
            </w:r>
          </w:p>
        </w:tc>
        <w:tc>
          <w:tcPr>
            <w:tcW w:type="dxa" w:w="7030"/>
          </w:tcPr>
          <w:p>
            <w:pPr>
              <w:spacing w:after="0"/>
            </w:pPr>
            <w:r>
              <w:t>Quality Assurance</w:t>
            </w:r>
          </w:p>
        </w:tc>
      </w:tr>
      <w:tr>
        <w:tc>
          <w:tcPr>
            <w:tcW w:type="dxa" w:w="2381"/>
            <w:shd w:val="clear" w:color="auto" w:fill="F2EAE7"/>
          </w:tcPr>
          <w:p>
            <w:pPr>
              <w:spacing w:after="0"/>
            </w:pPr>
            <w:r>
              <w:rPr>
                <w:b/>
              </w:rPr>
              <w:t>Duration</w:t>
            </w:r>
          </w:p>
        </w:tc>
        <w:tc>
          <w:tcPr>
            <w:tcW w:type="dxa" w:w="7030"/>
          </w:tcPr>
          <w:p>
            <w:pPr>
              <w:spacing w:after="0"/>
            </w:pPr>
            <w:r>
              <w:t>5 May 2025 – 27 June 2025 (8 weeks)</w:t>
            </w:r>
          </w:p>
        </w:tc>
      </w:tr>
      <w:tr>
        <w:tc>
          <w:tcPr>
            <w:tcW w:type="dxa" w:w="2381"/>
            <w:shd w:val="clear" w:color="auto" w:fill="F2EAE7"/>
          </w:tcPr>
          <w:p>
            <w:pPr>
              <w:spacing w:after="0"/>
            </w:pPr>
            <w:r>
              <w:rPr>
                <w:b/>
              </w:rPr>
              <w:t>Industry mentor</w:t>
            </w:r>
          </w:p>
        </w:tc>
        <w:tc>
          <w:tcPr>
            <w:tcW w:type="dxa" w:w="7030"/>
          </w:tcPr>
          <w:p>
            <w:pPr>
              <w:spacing w:after="0"/>
            </w:pPr>
            <w:r>
              <w:t>Dr. Ravi Teja, Quality Manager</w:t>
            </w:r>
          </w:p>
        </w:tc>
      </w:tr>
      <w:tr>
        <w:tc>
          <w:tcPr>
            <w:tcW w:type="dxa" w:w="2381"/>
            <w:shd w:val="clear" w:color="auto" w:fill="F2EAE7"/>
          </w:tcPr>
          <w:p>
            <w:pPr>
              <w:spacing w:after="0"/>
            </w:pPr>
            <w:r>
              <w:rPr>
                <w:b/>
              </w:rPr>
              <w:t>Tools used</w:t>
            </w:r>
          </w:p>
        </w:tc>
        <w:tc>
          <w:tcPr>
            <w:tcW w:type="dxa" w:w="7030"/>
          </w:tcPr>
          <w:p>
            <w:pPr>
              <w:spacing w:after="0"/>
            </w:pPr>
            <w:r>
              <w:t>LIMS, Levey–Jennings charts, Excel, Audit checklists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Weekly Work Log</w:t>
      </w:r>
      <w:r>
        <w:tab/>
        <w:t>9</w:t>
      </w:r>
    </w:p>
    <w:p>
      <w:pPr>
        <w:pStyle w:val="TOC2"/>
      </w:pPr>
      <w:r>
        <w:t>Week 1: Induction</w:t>
      </w:r>
      <w:r>
        <w:tab/>
        <w:t>9</w:t>
      </w:r>
    </w:p>
    <w:p>
      <w:pPr>
        <w:pStyle w:val="TOC2"/>
      </w:pPr>
      <w:r>
        <w:t>Week 2: Sample journey: collection to report</w:t>
      </w:r>
      <w:r>
        <w:tab/>
        <w:t>9</w:t>
      </w:r>
    </w:p>
    <w:p>
      <w:pPr>
        <w:pStyle w:val="TOC2"/>
      </w:pPr>
      <w:r>
        <w:t>Week 3: Internal QC in biochemistry</w:t>
      </w:r>
      <w:r>
        <w:tab/>
        <w:t>9</w:t>
      </w:r>
    </w:p>
    <w:p>
      <w:pPr>
        <w:pStyle w:val="TOC2"/>
      </w:pPr>
      <w:r>
        <w:t>Week 4: Equipment calibration and logs</w:t>
      </w:r>
      <w:r>
        <w:tab/>
        <w:t>10</w:t>
      </w:r>
    </w:p>
    <w:p>
      <w:pPr>
        <w:pStyle w:val="TOC2"/>
      </w:pPr>
      <w:r>
        <w:t>Week 5: Internal audit support</w:t>
      </w:r>
      <w:r>
        <w:tab/>
        <w:t>10</w:t>
      </w:r>
    </w:p>
    <w:p>
      <w:pPr>
        <w:pStyle w:val="TOC2"/>
      </w:pPr>
      <w:r>
        <w:t>Week 6: SOP review</w:t>
      </w:r>
      <w:r>
        <w:tab/>
        <w:t>10</w:t>
      </w:r>
    </w:p>
    <w:p>
      <w:pPr>
        <w:pStyle w:val="TOC2"/>
      </w:pPr>
      <w:r>
        <w:t>Week 7: Turnaround time analysis</w:t>
      </w:r>
      <w:r>
        <w:tab/>
        <w:t>10</w:t>
      </w:r>
    </w:p>
    <w:p>
      <w:pPr>
        <w:pStyle w:val="TOC2"/>
      </w:pPr>
      <w:r>
        <w:t>Week 8: Presentation and handover</w:t>
      </w:r>
      <w:r>
        <w:tab/>
        <w:t>10</w:t>
      </w:r>
    </w:p>
    <w:p>
      <w:pPr>
        <w:pStyle w:val="TOC1"/>
      </w:pPr>
      <w:r>
        <w:t>Projects Undertaken</w:t>
      </w:r>
      <w:r>
        <w:tab/>
        <w:t>11</w:t>
      </w:r>
    </w:p>
    <w:p>
      <w:pPr>
        <w:pStyle w:val="TOC2"/>
      </w:pPr>
      <w:r>
        <w:t>Project 1: QC chart digitisation</w:t>
      </w:r>
      <w:r>
        <w:tab/>
        <w:t>11</w:t>
      </w:r>
    </w:p>
    <w:p>
      <w:pPr>
        <w:pStyle w:val="TOC2"/>
      </w:pPr>
      <w:r>
        <w:t>Project 2: Turnaround time study</w:t>
      </w:r>
      <w:r>
        <w:tab/>
        <w:t>11</w:t>
      </w:r>
    </w:p>
    <w:p>
      <w:pPr>
        <w:pStyle w:val="TOC1"/>
      </w:pPr>
      <w:r>
        <w:t>Skills and Learning Outcomes</w:t>
      </w:r>
      <w:r>
        <w:tab/>
        <w:t>12</w:t>
      </w:r>
    </w:p>
    <w:p>
      <w:pPr>
        <w:pStyle w:val="TOC2"/>
      </w:pPr>
      <w:r>
        <w:t>Challenges Faced</w:t>
      </w:r>
      <w:r>
        <w:tab/>
        <w:t>12</w:t>
      </w:r>
    </w:p>
    <w:p>
      <w:pPr>
        <w:pStyle w:val="TOC1"/>
      </w:pPr>
      <w:r>
        <w:t>Conclusion</w:t>
      </w:r>
      <w:r>
        <w:tab/>
        <w:t>13</w:t>
      </w:r>
    </w:p>
    <w:p>
      <w:pPr>
        <w:pStyle w:val="TOC1"/>
      </w:pPr>
      <w:r>
        <w:t>Appendix: Attendance and Evaluation</w:t>
      </w:r>
      <w:r>
        <w:tab/>
        <w:t>14</w:t>
      </w:r>
    </w:p>
    <w:p>
      <w:pPr>
        <w:spacing w:after="0"/>
      </w:pPr>
      <w:r>
        <w:fldChar w:fldCharType="end"/>
      </w:r>
    </w:p>
    <w:p>
      <w:pPr>
        <w:pStyle w:val="Heading1"/>
      </w:pPr>
      <w:r>
        <w:t>Company Profile</w:t>
      </w:r>
    </w:p>
    <w:p>
      <w:pPr>
        <w:pStyle w:val="Heading2"/>
      </w:pPr>
      <w:r>
        <w:t>About the Organisation</w:t>
      </w:r>
    </w:p>
    <w:p>
      <w:pPr>
        <w:jc w:val="both"/>
      </w:pPr>
      <w:r>
        <w:t>CarePlus Diagnostics runs a central laboratory and collection centres that offer pathology tests and basic imaging. The laboratory follows documented quality procedures, internal quality control and external quality assessment.</w:t>
      </w:r>
    </w:p>
    <w:p>
      <w:pPr>
        <w:pStyle w:val="Heading2"/>
      </w:pPr>
      <w:r>
        <w:t>Vision and Mission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Vision</w:t>
            </w:r>
          </w:p>
          <w:p>
            <w:pPr>
              <w:spacing w:after="0"/>
            </w:pPr>
            <w:r>
              <w:t>Accurate reports, every time, for every patient.</w:t>
            </w:r>
          </w:p>
        </w:tc>
      </w:tr>
    </w:tbl>
    <w:p>
      <w:pPr>
        <w:spacing w:after="4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Mission</w:t>
            </w:r>
          </w:p>
          <w:p>
            <w:pPr>
              <w:spacing w:after="0"/>
            </w:pPr>
            <w:r>
              <w:t>To deliver reliable diagnostics through trained people, calibrated equipment and strict quality systems.</w:t>
            </w:r>
          </w:p>
        </w:tc>
      </w:tr>
    </w:tbl>
    <w:p>
      <w:pPr>
        <w:spacing w:after="40"/>
      </w:pPr>
    </w:p>
    <w:p>
      <w:pPr>
        <w:pStyle w:val="Heading2"/>
      </w:pPr>
      <w:r>
        <w:t>Products and Services</w:t>
      </w:r>
    </w:p>
    <w:p>
      <w:pPr>
        <w:pStyle w:val="ListBullet"/>
      </w:pPr>
      <w:r>
        <w:t>Clinical biochemistry</w:t>
      </w:r>
    </w:p>
    <w:p>
      <w:pPr>
        <w:pStyle w:val="ListBullet"/>
      </w:pPr>
      <w:r>
        <w:t>Haematology</w:t>
      </w:r>
    </w:p>
    <w:p>
      <w:pPr>
        <w:pStyle w:val="ListBullet"/>
      </w:pPr>
      <w:r>
        <w:t>Microbiology</w:t>
      </w:r>
    </w:p>
    <w:p>
      <w:pPr>
        <w:pStyle w:val="ListBullet"/>
      </w:pPr>
      <w:r>
        <w:t>Home sample collection</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7C2D12"/>
          </w:tcPr>
          <w:p>
            <w:pPr>
              <w:spacing w:after="0"/>
            </w:pPr>
            <w:r/>
            <w:r>
              <w:rPr>
                <w:b/>
                <w:color w:val="FFFFFF"/>
                <w:sz w:val="20"/>
              </w:rPr>
              <w:t>Department</w:t>
            </w:r>
          </w:p>
        </w:tc>
        <w:tc>
          <w:tcPr>
            <w:tcW w:type="dxa" w:w="6722"/>
            <w:vAlign w:val="center"/>
            <w:shd w:val="clear" w:color="auto" w:fill="7C2D12"/>
          </w:tcPr>
          <w:p>
            <w:pPr>
              <w:spacing w:after="0"/>
            </w:pPr>
            <w:r/>
            <w:r>
              <w:rPr>
                <w:b/>
                <w:color w:val="FFFFFF"/>
                <w:sz w:val="20"/>
              </w:rPr>
              <w:t>Main responsibilities</w:t>
            </w:r>
          </w:p>
        </w:tc>
      </w:tr>
      <w:tr>
        <w:tc>
          <w:tcPr>
            <w:tcW w:type="dxa" w:w="2689"/>
            <w:vAlign w:val="center"/>
          </w:tcPr>
          <w:p>
            <w:pPr>
              <w:spacing w:after="0"/>
            </w:pPr>
            <w:r/>
            <w:r>
              <w:rPr>
                <w:sz w:val="20"/>
              </w:rPr>
              <w:t>Laboratory</w:t>
            </w:r>
          </w:p>
        </w:tc>
        <w:tc>
          <w:tcPr>
            <w:tcW w:type="dxa" w:w="6722"/>
            <w:vAlign w:val="center"/>
          </w:tcPr>
          <w:p>
            <w:pPr>
              <w:spacing w:after="0"/>
            </w:pPr>
            <w:r/>
            <w:r>
              <w:rPr>
                <w:sz w:val="20"/>
              </w:rPr>
              <w:t>Testing in each department</w:t>
            </w:r>
          </w:p>
        </w:tc>
      </w:tr>
      <w:tr>
        <w:tc>
          <w:tcPr>
            <w:tcW w:type="dxa" w:w="2689"/>
            <w:vAlign w:val="center"/>
            <w:shd w:val="clear" w:color="auto" w:fill="F2EAE7"/>
          </w:tcPr>
          <w:p>
            <w:pPr>
              <w:spacing w:after="0"/>
            </w:pPr>
            <w:r/>
            <w:r>
              <w:rPr>
                <w:sz w:val="20"/>
              </w:rPr>
              <w:t>Quality Assurance</w:t>
            </w:r>
          </w:p>
        </w:tc>
        <w:tc>
          <w:tcPr>
            <w:tcW w:type="dxa" w:w="6722"/>
            <w:vAlign w:val="center"/>
            <w:shd w:val="clear" w:color="auto" w:fill="F2EAE7"/>
          </w:tcPr>
          <w:p>
            <w:pPr>
              <w:spacing w:after="0"/>
            </w:pPr>
            <w:r/>
            <w:r>
              <w:rPr>
                <w:sz w:val="20"/>
              </w:rPr>
              <w:t>Quality control, audits and documentation</w:t>
            </w:r>
          </w:p>
        </w:tc>
      </w:tr>
      <w:tr>
        <w:tc>
          <w:tcPr>
            <w:tcW w:type="dxa" w:w="2689"/>
            <w:vAlign w:val="center"/>
          </w:tcPr>
          <w:p>
            <w:pPr>
              <w:spacing w:after="0"/>
            </w:pPr>
            <w:r/>
            <w:r>
              <w:rPr>
                <w:sz w:val="20"/>
              </w:rPr>
              <w:t>Collection</w:t>
            </w:r>
          </w:p>
        </w:tc>
        <w:tc>
          <w:tcPr>
            <w:tcW w:type="dxa" w:w="6722"/>
            <w:vAlign w:val="center"/>
          </w:tcPr>
          <w:p>
            <w:pPr>
              <w:spacing w:after="0"/>
            </w:pPr>
            <w:r/>
            <w:r>
              <w:rPr>
                <w:sz w:val="20"/>
              </w:rPr>
              <w:t>Phlebotomy and logistics</w:t>
            </w:r>
          </w:p>
        </w:tc>
      </w:tr>
      <w:tr>
        <w:tc>
          <w:tcPr>
            <w:tcW w:type="dxa" w:w="2689"/>
            <w:vAlign w:val="center"/>
            <w:shd w:val="clear" w:color="auto" w:fill="F2EAE7"/>
          </w:tcPr>
          <w:p>
            <w:pPr>
              <w:spacing w:after="0"/>
            </w:pPr>
            <w:r/>
            <w:r>
              <w:rPr>
                <w:sz w:val="20"/>
              </w:rPr>
              <w:t>Customer Care</w:t>
            </w:r>
          </w:p>
        </w:tc>
        <w:tc>
          <w:tcPr>
            <w:tcW w:type="dxa" w:w="6722"/>
            <w:vAlign w:val="center"/>
            <w:shd w:val="clear" w:color="auto" w:fill="F2EAE7"/>
          </w:tcPr>
          <w:p>
            <w:pPr>
              <w:spacing w:after="0"/>
            </w:pPr>
            <w:r/>
            <w:r>
              <w:rPr>
                <w:sz w:val="20"/>
              </w:rPr>
              <w:t>Reports and queries</w:t>
            </w:r>
          </w:p>
        </w:tc>
      </w:tr>
    </w:tbl>
    <w:p>
      <w:pPr>
        <w:spacing w:after="80"/>
      </w:pPr>
    </w:p>
    <w:p>
      <w:pPr>
        <w:pStyle w:val="Heading1"/>
      </w:pPr>
      <w:r>
        <w:t>Internship Overview</w:t>
      </w:r>
    </w:p>
    <w:p>
      <w:pPr>
        <w:pStyle w:val="Heading2"/>
      </w:pPr>
      <w:r>
        <w:t>Objectives of the Internship</w:t>
      </w:r>
    </w:p>
    <w:p>
      <w:pPr>
        <w:pStyle w:val="ListNumber"/>
      </w:pPr>
      <w:r>
        <w:t>Understand quality systems in a diagnostic laboratory.</w:t>
      </w:r>
    </w:p>
    <w:p>
      <w:pPr>
        <w:pStyle w:val="ListNumber"/>
      </w:pPr>
      <w:r>
        <w:t>Learn internal quality control and documentation.</w:t>
      </w:r>
    </w:p>
    <w:p>
      <w:pPr>
        <w:pStyle w:val="ListNumber"/>
      </w:pPr>
      <w:r>
        <w:t>Observe sample handling from collection to report.</w:t>
      </w:r>
    </w:p>
    <w:p>
      <w:pPr>
        <w:pStyle w:val="Heading2"/>
      </w:pPr>
      <w:r>
        <w:t>Role and Responsibilities</w:t>
      </w:r>
    </w:p>
    <w:p>
      <w:pPr>
        <w:pStyle w:val="ListBullet"/>
      </w:pPr>
      <w:r>
        <w:t>Plotting daily QC data</w:t>
      </w:r>
    </w:p>
    <w:p>
      <w:pPr>
        <w:pStyle w:val="ListBullet"/>
      </w:pPr>
      <w:r>
        <w:t>Checking temperature and calibration logs</w:t>
      </w:r>
    </w:p>
    <w:p>
      <w:pPr>
        <w:pStyle w:val="ListBullet"/>
      </w:pPr>
      <w:r>
        <w:t>Assisting internal audits</w:t>
      </w:r>
    </w:p>
    <w:p>
      <w:pPr>
        <w:pStyle w:val="ListBullet"/>
      </w:pPr>
      <w:r>
        <w:t>Updating SOP drafts</w:t>
      </w:r>
    </w:p>
    <w:p>
      <w:pPr>
        <w:pStyle w:val="Heading2"/>
      </w:pPr>
      <w:r>
        <w:t>Tools and Technologies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7C2D12"/>
          </w:tcPr>
          <w:p>
            <w:pPr>
              <w:spacing w:after="0"/>
            </w:pPr>
            <w:r/>
            <w:r>
              <w:rPr>
                <w:b/>
                <w:color w:val="FFFFFF"/>
                <w:sz w:val="20"/>
              </w:rPr>
              <w:t>Tool / technology</w:t>
            </w:r>
          </w:p>
        </w:tc>
        <w:tc>
          <w:tcPr>
            <w:tcW w:type="dxa" w:w="6722"/>
            <w:vAlign w:val="center"/>
            <w:shd w:val="clear" w:color="auto" w:fill="7C2D12"/>
          </w:tcPr>
          <w:p>
            <w:pPr>
              <w:spacing w:after="0"/>
            </w:pPr>
            <w:r/>
            <w:r>
              <w:rPr>
                <w:b/>
                <w:color w:val="FFFFFF"/>
                <w:sz w:val="20"/>
              </w:rPr>
              <w:t>How it was used</w:t>
            </w:r>
          </w:p>
        </w:tc>
      </w:tr>
      <w:tr>
        <w:tc>
          <w:tcPr>
            <w:tcW w:type="dxa" w:w="2689"/>
            <w:vAlign w:val="center"/>
          </w:tcPr>
          <w:p>
            <w:pPr>
              <w:spacing w:after="0"/>
            </w:pPr>
            <w:r/>
            <w:r>
              <w:rPr>
                <w:sz w:val="20"/>
              </w:rPr>
              <w:t>LIMS</w:t>
            </w:r>
          </w:p>
        </w:tc>
        <w:tc>
          <w:tcPr>
            <w:tcW w:type="dxa" w:w="6722"/>
            <w:vAlign w:val="center"/>
          </w:tcPr>
          <w:p>
            <w:pPr>
              <w:spacing w:after="0"/>
            </w:pPr>
            <w:r/>
            <w:r>
              <w:rPr>
                <w:sz w:val="20"/>
              </w:rPr>
              <w:t>Tracking samples and reports</w:t>
            </w:r>
          </w:p>
        </w:tc>
      </w:tr>
      <w:tr>
        <w:tc>
          <w:tcPr>
            <w:tcW w:type="dxa" w:w="2689"/>
            <w:vAlign w:val="center"/>
            <w:shd w:val="clear" w:color="auto" w:fill="F2EAE7"/>
          </w:tcPr>
          <w:p>
            <w:pPr>
              <w:spacing w:after="0"/>
            </w:pPr>
            <w:r/>
            <w:r>
              <w:rPr>
                <w:sz w:val="20"/>
              </w:rPr>
              <w:t>Levey–Jennings charts</w:t>
            </w:r>
          </w:p>
        </w:tc>
        <w:tc>
          <w:tcPr>
            <w:tcW w:type="dxa" w:w="6722"/>
            <w:vAlign w:val="center"/>
            <w:shd w:val="clear" w:color="auto" w:fill="F2EAE7"/>
          </w:tcPr>
          <w:p>
            <w:pPr>
              <w:spacing w:after="0"/>
            </w:pPr>
            <w:r/>
            <w:r>
              <w:rPr>
                <w:sz w:val="20"/>
              </w:rPr>
              <w:t>Monitoring control results</w:t>
            </w:r>
          </w:p>
        </w:tc>
      </w:tr>
      <w:tr>
        <w:tc>
          <w:tcPr>
            <w:tcW w:type="dxa" w:w="2689"/>
            <w:vAlign w:val="center"/>
          </w:tcPr>
          <w:p>
            <w:pPr>
              <w:spacing w:after="0"/>
            </w:pPr>
            <w:r/>
            <w:r>
              <w:rPr>
                <w:sz w:val="20"/>
              </w:rPr>
              <w:t>Excel</w:t>
            </w:r>
          </w:p>
        </w:tc>
        <w:tc>
          <w:tcPr>
            <w:tcW w:type="dxa" w:w="6722"/>
            <w:vAlign w:val="center"/>
          </w:tcPr>
          <w:p>
            <w:pPr>
              <w:spacing w:after="0"/>
            </w:pPr>
            <w:r/>
            <w:r>
              <w:rPr>
                <w:sz w:val="20"/>
              </w:rPr>
              <w:t>QC data and trend charts</w:t>
            </w:r>
          </w:p>
        </w:tc>
      </w:tr>
      <w:tr>
        <w:tc>
          <w:tcPr>
            <w:tcW w:type="dxa" w:w="2689"/>
            <w:vAlign w:val="center"/>
            <w:shd w:val="clear" w:color="auto" w:fill="F2EAE7"/>
          </w:tcPr>
          <w:p>
            <w:pPr>
              <w:spacing w:after="0"/>
            </w:pPr>
            <w:r/>
            <w:r>
              <w:rPr>
                <w:sz w:val="20"/>
              </w:rPr>
              <w:t>Audit checklists</w:t>
            </w:r>
          </w:p>
        </w:tc>
        <w:tc>
          <w:tcPr>
            <w:tcW w:type="dxa" w:w="6722"/>
            <w:vAlign w:val="center"/>
            <w:shd w:val="clear" w:color="auto" w:fill="F2EAE7"/>
          </w:tcPr>
          <w:p>
            <w:pPr>
              <w:spacing w:after="0"/>
            </w:pPr>
            <w:r/>
            <w:r>
              <w:rPr>
                <w:sz w:val="20"/>
              </w:rPr>
              <w:t>Internal audit support</w:t>
            </w:r>
          </w:p>
        </w:tc>
      </w:tr>
    </w:tbl>
    <w:p>
      <w:pPr>
        <w:spacing w:after="80"/>
      </w:pPr>
    </w:p>
    <w:p>
      <w:pPr>
        <w:pStyle w:val="Heading1"/>
      </w:pPr>
      <w:r>
        <w:t>Weekly Work Log</w:t>
      </w:r>
    </w:p>
    <w:p>
      <w:r>
        <w:t>The table below summarises the work done in each week. Detailed notes for each week follow.</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728"/>
        <w:gridCol w:w="1700"/>
        <w:gridCol w:w="3947"/>
        <w:gridCol w:w="3036"/>
      </w:tblGrid>
      <w:tr>
        <w:trPr>
          <w:tblHeader/>
        </w:trPr>
        <w:tc>
          <w:tcPr>
            <w:tcW w:type="dxa" w:w="729"/>
            <w:vAlign w:val="center"/>
            <w:shd w:val="clear" w:color="auto" w:fill="7C2D12"/>
          </w:tcPr>
          <w:p>
            <w:pPr>
              <w:spacing w:after="0"/>
              <w:jc w:val="center"/>
            </w:pPr>
            <w:r/>
            <w:r>
              <w:rPr>
                <w:b/>
                <w:color w:val="FFFFFF"/>
                <w:sz w:val="20"/>
              </w:rPr>
              <w:t>Week</w:t>
            </w:r>
          </w:p>
        </w:tc>
        <w:tc>
          <w:tcPr>
            <w:tcW w:type="dxa" w:w="1700"/>
            <w:vAlign w:val="center"/>
            <w:shd w:val="clear" w:color="auto" w:fill="7C2D12"/>
          </w:tcPr>
          <w:p>
            <w:pPr>
              <w:spacing w:after="0"/>
              <w:jc w:val="left"/>
            </w:pPr>
            <w:r/>
            <w:r>
              <w:rPr>
                <w:b/>
                <w:color w:val="FFFFFF"/>
                <w:sz w:val="20"/>
              </w:rPr>
              <w:t>Dates</w:t>
            </w:r>
          </w:p>
        </w:tc>
        <w:tc>
          <w:tcPr>
            <w:tcW w:type="dxa" w:w="3947"/>
            <w:vAlign w:val="center"/>
            <w:shd w:val="clear" w:color="auto" w:fill="7C2D12"/>
          </w:tcPr>
          <w:p>
            <w:pPr>
              <w:spacing w:after="0"/>
              <w:jc w:val="left"/>
            </w:pPr>
            <w:r/>
            <w:r>
              <w:rPr>
                <w:b/>
                <w:color w:val="FFFFFF"/>
                <w:sz w:val="20"/>
              </w:rPr>
              <w:t>Tasks performed</w:t>
            </w:r>
          </w:p>
        </w:tc>
        <w:tc>
          <w:tcPr>
            <w:tcW w:type="dxa" w:w="3036"/>
            <w:vAlign w:val="center"/>
            <w:shd w:val="clear" w:color="auto" w:fill="7C2D12"/>
          </w:tcPr>
          <w:p>
            <w:pPr>
              <w:spacing w:after="0"/>
              <w:jc w:val="left"/>
            </w:pPr>
            <w:r/>
            <w:r>
              <w:rPr>
                <w:b/>
                <w:color w:val="FFFFFF"/>
                <w:sz w:val="20"/>
              </w:rPr>
              <w:t>Key learning</w:t>
            </w:r>
          </w:p>
        </w:tc>
      </w:tr>
      <w:tr>
        <w:tc>
          <w:tcPr>
            <w:tcW w:type="dxa" w:w="729"/>
            <w:vAlign w:val="center"/>
          </w:tcPr>
          <w:p>
            <w:pPr>
              <w:spacing w:after="0"/>
              <w:jc w:val="center"/>
            </w:pPr>
            <w:r/>
            <w:r>
              <w:rPr>
                <w:sz w:val="20"/>
              </w:rPr>
              <w:t>1</w:t>
            </w:r>
          </w:p>
        </w:tc>
        <w:tc>
          <w:tcPr>
            <w:tcW w:type="dxa" w:w="1700"/>
            <w:vAlign w:val="center"/>
          </w:tcPr>
          <w:p>
            <w:pPr>
              <w:spacing w:after="0"/>
              <w:jc w:val="left"/>
            </w:pPr>
            <w:r/>
            <w:r>
              <w:rPr>
                <w:sz w:val="20"/>
              </w:rPr>
              <w:t>5–9 May</w:t>
            </w:r>
          </w:p>
        </w:tc>
        <w:tc>
          <w:tcPr>
            <w:tcW w:type="dxa" w:w="3947"/>
            <w:vAlign w:val="center"/>
          </w:tcPr>
          <w:p>
            <w:pPr>
              <w:spacing w:after="0"/>
              <w:jc w:val="left"/>
            </w:pPr>
            <w:r/>
            <w:r>
              <w:rPr>
                <w:sz w:val="20"/>
              </w:rPr>
              <w:t>Induction, biosafety and confidentiality</w:t>
            </w:r>
          </w:p>
        </w:tc>
        <w:tc>
          <w:tcPr>
            <w:tcW w:type="dxa" w:w="3036"/>
            <w:vAlign w:val="center"/>
          </w:tcPr>
          <w:p>
            <w:pPr>
              <w:spacing w:after="0"/>
              <w:jc w:val="left"/>
            </w:pPr>
            <w:r/>
            <w:r>
              <w:rPr>
                <w:sz w:val="20"/>
              </w:rPr>
              <w:t>Biosafety levels and PPE</w:t>
            </w:r>
          </w:p>
        </w:tc>
      </w:tr>
      <w:tr>
        <w:tc>
          <w:tcPr>
            <w:tcW w:type="dxa" w:w="729"/>
            <w:vAlign w:val="center"/>
            <w:shd w:val="clear" w:color="auto" w:fill="F2EAE7"/>
          </w:tcPr>
          <w:p>
            <w:pPr>
              <w:spacing w:after="0"/>
              <w:jc w:val="center"/>
            </w:pPr>
            <w:r/>
            <w:r>
              <w:rPr>
                <w:sz w:val="20"/>
              </w:rPr>
              <w:t>2</w:t>
            </w:r>
          </w:p>
        </w:tc>
        <w:tc>
          <w:tcPr>
            <w:tcW w:type="dxa" w:w="1700"/>
            <w:vAlign w:val="center"/>
            <w:shd w:val="clear" w:color="auto" w:fill="F2EAE7"/>
          </w:tcPr>
          <w:p>
            <w:pPr>
              <w:spacing w:after="0"/>
              <w:jc w:val="left"/>
            </w:pPr>
            <w:r/>
            <w:r>
              <w:rPr>
                <w:sz w:val="20"/>
              </w:rPr>
              <w:t>12–16 May</w:t>
            </w:r>
          </w:p>
        </w:tc>
        <w:tc>
          <w:tcPr>
            <w:tcW w:type="dxa" w:w="3947"/>
            <w:vAlign w:val="center"/>
            <w:shd w:val="clear" w:color="auto" w:fill="F2EAE7"/>
          </w:tcPr>
          <w:p>
            <w:pPr>
              <w:spacing w:after="0"/>
              <w:jc w:val="left"/>
            </w:pPr>
            <w:r/>
            <w:r>
              <w:rPr>
                <w:sz w:val="20"/>
              </w:rPr>
              <w:t>Sample journey: collection to report</w:t>
            </w:r>
          </w:p>
        </w:tc>
        <w:tc>
          <w:tcPr>
            <w:tcW w:type="dxa" w:w="3036"/>
            <w:vAlign w:val="center"/>
            <w:shd w:val="clear" w:color="auto" w:fill="F2EAE7"/>
          </w:tcPr>
          <w:p>
            <w:pPr>
              <w:spacing w:after="0"/>
              <w:jc w:val="left"/>
            </w:pPr>
            <w:r/>
            <w:r>
              <w:rPr>
                <w:sz w:val="20"/>
              </w:rPr>
              <w:t>Pre-analytical errors</w:t>
            </w:r>
          </w:p>
        </w:tc>
      </w:tr>
      <w:tr>
        <w:tc>
          <w:tcPr>
            <w:tcW w:type="dxa" w:w="729"/>
            <w:vAlign w:val="center"/>
          </w:tcPr>
          <w:p>
            <w:pPr>
              <w:spacing w:after="0"/>
              <w:jc w:val="center"/>
            </w:pPr>
            <w:r/>
            <w:r>
              <w:rPr>
                <w:sz w:val="20"/>
              </w:rPr>
              <w:t>3</w:t>
            </w:r>
          </w:p>
        </w:tc>
        <w:tc>
          <w:tcPr>
            <w:tcW w:type="dxa" w:w="1700"/>
            <w:vAlign w:val="center"/>
          </w:tcPr>
          <w:p>
            <w:pPr>
              <w:spacing w:after="0"/>
              <w:jc w:val="left"/>
            </w:pPr>
            <w:r/>
            <w:r>
              <w:rPr>
                <w:sz w:val="20"/>
              </w:rPr>
              <w:t>19–23 May</w:t>
            </w:r>
          </w:p>
        </w:tc>
        <w:tc>
          <w:tcPr>
            <w:tcW w:type="dxa" w:w="3947"/>
            <w:vAlign w:val="center"/>
          </w:tcPr>
          <w:p>
            <w:pPr>
              <w:spacing w:after="0"/>
              <w:jc w:val="left"/>
            </w:pPr>
            <w:r/>
            <w:r>
              <w:rPr>
                <w:sz w:val="20"/>
              </w:rPr>
              <w:t>Internal QC in biochemistry</w:t>
            </w:r>
          </w:p>
        </w:tc>
        <w:tc>
          <w:tcPr>
            <w:tcW w:type="dxa" w:w="3036"/>
            <w:vAlign w:val="center"/>
          </w:tcPr>
          <w:p>
            <w:pPr>
              <w:spacing w:after="0"/>
              <w:jc w:val="left"/>
            </w:pPr>
            <w:r/>
            <w:r>
              <w:rPr>
                <w:sz w:val="20"/>
              </w:rPr>
              <w:t>Westgard rules</w:t>
            </w:r>
          </w:p>
        </w:tc>
      </w:tr>
      <w:tr>
        <w:tc>
          <w:tcPr>
            <w:tcW w:type="dxa" w:w="729"/>
            <w:vAlign w:val="center"/>
            <w:shd w:val="clear" w:color="auto" w:fill="F2EAE7"/>
          </w:tcPr>
          <w:p>
            <w:pPr>
              <w:spacing w:after="0"/>
              <w:jc w:val="center"/>
            </w:pPr>
            <w:r/>
            <w:r>
              <w:rPr>
                <w:sz w:val="20"/>
              </w:rPr>
              <w:t>4</w:t>
            </w:r>
          </w:p>
        </w:tc>
        <w:tc>
          <w:tcPr>
            <w:tcW w:type="dxa" w:w="1700"/>
            <w:vAlign w:val="center"/>
            <w:shd w:val="clear" w:color="auto" w:fill="F2EAE7"/>
          </w:tcPr>
          <w:p>
            <w:pPr>
              <w:spacing w:after="0"/>
              <w:jc w:val="left"/>
            </w:pPr>
            <w:r/>
            <w:r>
              <w:rPr>
                <w:sz w:val="20"/>
              </w:rPr>
              <w:t>26–30 May</w:t>
            </w:r>
          </w:p>
        </w:tc>
        <w:tc>
          <w:tcPr>
            <w:tcW w:type="dxa" w:w="3947"/>
            <w:vAlign w:val="center"/>
            <w:shd w:val="clear" w:color="auto" w:fill="F2EAE7"/>
          </w:tcPr>
          <w:p>
            <w:pPr>
              <w:spacing w:after="0"/>
              <w:jc w:val="left"/>
            </w:pPr>
            <w:r/>
            <w:r>
              <w:rPr>
                <w:sz w:val="20"/>
              </w:rPr>
              <w:t>Equipment calibration and logs</w:t>
            </w:r>
          </w:p>
        </w:tc>
        <w:tc>
          <w:tcPr>
            <w:tcW w:type="dxa" w:w="3036"/>
            <w:vAlign w:val="center"/>
            <w:shd w:val="clear" w:color="auto" w:fill="F2EAE7"/>
          </w:tcPr>
          <w:p>
            <w:pPr>
              <w:spacing w:after="0"/>
              <w:jc w:val="left"/>
            </w:pPr>
            <w:r/>
            <w:r>
              <w:rPr>
                <w:sz w:val="20"/>
              </w:rPr>
              <w:t>Traceability</w:t>
            </w:r>
          </w:p>
        </w:tc>
      </w:tr>
      <w:tr>
        <w:tc>
          <w:tcPr>
            <w:tcW w:type="dxa" w:w="729"/>
            <w:vAlign w:val="center"/>
          </w:tcPr>
          <w:p>
            <w:pPr>
              <w:spacing w:after="0"/>
              <w:jc w:val="center"/>
            </w:pPr>
            <w:r/>
            <w:r>
              <w:rPr>
                <w:sz w:val="20"/>
              </w:rPr>
              <w:t>5</w:t>
            </w:r>
          </w:p>
        </w:tc>
        <w:tc>
          <w:tcPr>
            <w:tcW w:type="dxa" w:w="1700"/>
            <w:vAlign w:val="center"/>
          </w:tcPr>
          <w:p>
            <w:pPr>
              <w:spacing w:after="0"/>
              <w:jc w:val="left"/>
            </w:pPr>
            <w:r/>
            <w:r>
              <w:rPr>
                <w:sz w:val="20"/>
              </w:rPr>
              <w:t>2–6 Jun</w:t>
            </w:r>
          </w:p>
        </w:tc>
        <w:tc>
          <w:tcPr>
            <w:tcW w:type="dxa" w:w="3947"/>
            <w:vAlign w:val="center"/>
          </w:tcPr>
          <w:p>
            <w:pPr>
              <w:spacing w:after="0"/>
              <w:jc w:val="left"/>
            </w:pPr>
            <w:r/>
            <w:r>
              <w:rPr>
                <w:sz w:val="20"/>
              </w:rPr>
              <w:t>Internal audit support</w:t>
            </w:r>
          </w:p>
        </w:tc>
        <w:tc>
          <w:tcPr>
            <w:tcW w:type="dxa" w:w="3036"/>
            <w:vAlign w:val="center"/>
          </w:tcPr>
          <w:p>
            <w:pPr>
              <w:spacing w:after="0"/>
              <w:jc w:val="left"/>
            </w:pPr>
            <w:r/>
            <w:r>
              <w:rPr>
                <w:sz w:val="20"/>
              </w:rPr>
              <w:t>Non-conformities and corrective actions</w:t>
            </w:r>
          </w:p>
        </w:tc>
      </w:tr>
      <w:tr>
        <w:tc>
          <w:tcPr>
            <w:tcW w:type="dxa" w:w="729"/>
            <w:vAlign w:val="center"/>
            <w:shd w:val="clear" w:color="auto" w:fill="F2EAE7"/>
          </w:tcPr>
          <w:p>
            <w:pPr>
              <w:spacing w:after="0"/>
              <w:jc w:val="center"/>
            </w:pPr>
            <w:r/>
            <w:r>
              <w:rPr>
                <w:sz w:val="20"/>
              </w:rPr>
              <w:t>6</w:t>
            </w:r>
          </w:p>
        </w:tc>
        <w:tc>
          <w:tcPr>
            <w:tcW w:type="dxa" w:w="1700"/>
            <w:vAlign w:val="center"/>
            <w:shd w:val="clear" w:color="auto" w:fill="F2EAE7"/>
          </w:tcPr>
          <w:p>
            <w:pPr>
              <w:spacing w:after="0"/>
              <w:jc w:val="left"/>
            </w:pPr>
            <w:r/>
            <w:r>
              <w:rPr>
                <w:sz w:val="20"/>
              </w:rPr>
              <w:t>9–13 Jun</w:t>
            </w:r>
          </w:p>
        </w:tc>
        <w:tc>
          <w:tcPr>
            <w:tcW w:type="dxa" w:w="3947"/>
            <w:vAlign w:val="center"/>
            <w:shd w:val="clear" w:color="auto" w:fill="F2EAE7"/>
          </w:tcPr>
          <w:p>
            <w:pPr>
              <w:spacing w:after="0"/>
              <w:jc w:val="left"/>
            </w:pPr>
            <w:r/>
            <w:r>
              <w:rPr>
                <w:sz w:val="20"/>
              </w:rPr>
              <w:t>SOP review</w:t>
            </w:r>
          </w:p>
        </w:tc>
        <w:tc>
          <w:tcPr>
            <w:tcW w:type="dxa" w:w="3036"/>
            <w:vAlign w:val="center"/>
            <w:shd w:val="clear" w:color="auto" w:fill="F2EAE7"/>
          </w:tcPr>
          <w:p>
            <w:pPr>
              <w:spacing w:after="0"/>
              <w:jc w:val="left"/>
            </w:pPr>
            <w:r/>
            <w:r>
              <w:rPr>
                <w:sz w:val="20"/>
              </w:rPr>
              <w:t>Writing clear procedures</w:t>
            </w:r>
          </w:p>
        </w:tc>
      </w:tr>
      <w:tr>
        <w:tc>
          <w:tcPr>
            <w:tcW w:type="dxa" w:w="729"/>
            <w:vAlign w:val="center"/>
          </w:tcPr>
          <w:p>
            <w:pPr>
              <w:spacing w:after="0"/>
              <w:jc w:val="center"/>
            </w:pPr>
            <w:r/>
            <w:r>
              <w:rPr>
                <w:sz w:val="20"/>
              </w:rPr>
              <w:t>7</w:t>
            </w:r>
          </w:p>
        </w:tc>
        <w:tc>
          <w:tcPr>
            <w:tcW w:type="dxa" w:w="1700"/>
            <w:vAlign w:val="center"/>
          </w:tcPr>
          <w:p>
            <w:pPr>
              <w:spacing w:after="0"/>
              <w:jc w:val="left"/>
            </w:pPr>
            <w:r/>
            <w:r>
              <w:rPr>
                <w:sz w:val="20"/>
              </w:rPr>
              <w:t>16–20 Jun</w:t>
            </w:r>
          </w:p>
        </w:tc>
        <w:tc>
          <w:tcPr>
            <w:tcW w:type="dxa" w:w="3947"/>
            <w:vAlign w:val="center"/>
          </w:tcPr>
          <w:p>
            <w:pPr>
              <w:spacing w:after="0"/>
              <w:jc w:val="left"/>
            </w:pPr>
            <w:r/>
            <w:r>
              <w:rPr>
                <w:sz w:val="20"/>
              </w:rPr>
              <w:t>Turnaround time analysis</w:t>
            </w:r>
          </w:p>
        </w:tc>
        <w:tc>
          <w:tcPr>
            <w:tcW w:type="dxa" w:w="3036"/>
            <w:vAlign w:val="center"/>
          </w:tcPr>
          <w:p>
            <w:pPr>
              <w:spacing w:after="0"/>
              <w:jc w:val="left"/>
            </w:pPr>
            <w:r/>
            <w:r>
              <w:rPr>
                <w:sz w:val="20"/>
              </w:rPr>
              <w:t>Bottlenecks in the workflow</w:t>
            </w:r>
          </w:p>
        </w:tc>
      </w:tr>
      <w:tr>
        <w:tc>
          <w:tcPr>
            <w:tcW w:type="dxa" w:w="729"/>
            <w:vAlign w:val="center"/>
            <w:shd w:val="clear" w:color="auto" w:fill="F2EAE7"/>
          </w:tcPr>
          <w:p>
            <w:pPr>
              <w:spacing w:after="0"/>
              <w:jc w:val="center"/>
            </w:pPr>
            <w:r/>
            <w:r>
              <w:rPr>
                <w:sz w:val="20"/>
              </w:rPr>
              <w:t>8</w:t>
            </w:r>
          </w:p>
        </w:tc>
        <w:tc>
          <w:tcPr>
            <w:tcW w:type="dxa" w:w="1700"/>
            <w:vAlign w:val="center"/>
            <w:shd w:val="clear" w:color="auto" w:fill="F2EAE7"/>
          </w:tcPr>
          <w:p>
            <w:pPr>
              <w:spacing w:after="0"/>
              <w:jc w:val="left"/>
            </w:pPr>
            <w:r/>
            <w:r>
              <w:rPr>
                <w:sz w:val="20"/>
              </w:rPr>
              <w:t>23–27 Jun</w:t>
            </w:r>
          </w:p>
        </w:tc>
        <w:tc>
          <w:tcPr>
            <w:tcW w:type="dxa" w:w="3947"/>
            <w:vAlign w:val="center"/>
            <w:shd w:val="clear" w:color="auto" w:fill="F2EAE7"/>
          </w:tcPr>
          <w:p>
            <w:pPr>
              <w:spacing w:after="0"/>
              <w:jc w:val="left"/>
            </w:pPr>
            <w:r/>
            <w:r>
              <w:rPr>
                <w:sz w:val="20"/>
              </w:rPr>
              <w:t>Presentation and handover</w:t>
            </w:r>
          </w:p>
        </w:tc>
        <w:tc>
          <w:tcPr>
            <w:tcW w:type="dxa" w:w="3036"/>
            <w:vAlign w:val="center"/>
            <w:shd w:val="clear" w:color="auto" w:fill="F2EAE7"/>
          </w:tcPr>
          <w:p>
            <w:pPr>
              <w:spacing w:after="0"/>
              <w:jc w:val="left"/>
            </w:pPr>
            <w:r/>
            <w:r>
              <w:rPr>
                <w:sz w:val="20"/>
              </w:rPr>
              <w:t>Summarising findings</w:t>
            </w:r>
          </w:p>
        </w:tc>
      </w:tr>
    </w:tbl>
    <w:p>
      <w:pPr>
        <w:spacing w:after="80"/>
      </w:pPr>
    </w:p>
    <w:p>
      <w:pPr>
        <w:pStyle w:val="Heading2"/>
      </w:pPr>
      <w:r>
        <w:t>Week 1: Induction</w:t>
      </w:r>
    </w:p>
    <w:p>
      <w:pPr>
        <w:jc w:val="both"/>
      </w:pPr>
      <w:r>
        <w:t>Work done: Induction, biosafety and confidentiality. I kept a daily diary of tasks and questions and reviewed it with my mentor at the end of the week.</w:t>
      </w:r>
    </w:p>
    <w:p>
      <w:r>
        <w:rPr>
          <w:i/>
          <w:color w:val="6B7079"/>
        </w:rPr>
        <w:t>Learning: Biosafety levels and PPE.</w:t>
      </w:r>
    </w:p>
    <w:p>
      <w:pPr>
        <w:pStyle w:val="Heading2"/>
      </w:pPr>
      <w:r>
        <w:t>Week 2: Sample journey: collection to report</w:t>
      </w:r>
    </w:p>
    <w:p>
      <w:pPr>
        <w:jc w:val="both"/>
      </w:pPr>
      <w:r>
        <w:t>Work done: Sample journey: collection to report. Most of the week was spent shadowing team members and then repeating the tasks independently.</w:t>
      </w:r>
    </w:p>
    <w:p>
      <w:r>
        <w:rPr>
          <w:i/>
          <w:color w:val="6B7079"/>
        </w:rPr>
        <w:t>Learning: Pre-analytical errors.</w:t>
      </w:r>
    </w:p>
    <w:p>
      <w:pPr>
        <w:pStyle w:val="Heading2"/>
      </w:pPr>
      <w:r>
        <w:t>Week 3: Internal QC in biochemistry</w:t>
      </w:r>
    </w:p>
    <w:p>
      <w:pPr>
        <w:jc w:val="both"/>
      </w:pPr>
      <w:r>
        <w:t>Work done: Internal QC in biochemistry. At the weekly review my mentor suggested improvements, which I applied the following week.</w:t>
      </w:r>
    </w:p>
    <w:p>
      <w:r>
        <w:rPr>
          <w:i/>
          <w:color w:val="6B7079"/>
        </w:rPr>
        <w:t>Learning: Westgard rules.</w:t>
      </w:r>
    </w:p>
    <w:p>
      <w:pPr>
        <w:pStyle w:val="Heading2"/>
      </w:pPr>
      <w:r>
        <w:t>Week 4: Equipment calibration and logs</w:t>
      </w:r>
    </w:p>
    <w:p>
      <w:pPr>
        <w:jc w:val="both"/>
      </w:pPr>
      <w:r>
        <w:t>Work done: Equipment calibration and logs. I documented the steps I followed so that the next intern could repeat them easily.</w:t>
      </w:r>
    </w:p>
    <w:p>
      <w:r>
        <w:rPr>
          <w:i/>
          <w:color w:val="6B7079"/>
        </w:rPr>
        <w:t>Learning: Traceability.</w:t>
      </w:r>
    </w:p>
    <w:p>
      <w:pPr>
        <w:pStyle w:val="Heading2"/>
      </w:pPr>
      <w:r>
        <w:t>Week 5: Internal audit support</w:t>
      </w:r>
    </w:p>
    <w:p>
      <w:pPr>
        <w:jc w:val="both"/>
      </w:pPr>
      <w:r>
        <w:t>Work done: Internal audit support. I kept a daily diary of tasks and questions and reviewed it with my mentor at the end of the week.</w:t>
      </w:r>
    </w:p>
    <w:p>
      <w:r>
        <w:rPr>
          <w:i/>
          <w:color w:val="6B7079"/>
        </w:rPr>
        <w:t>Learning: Non-conformities and corrective actions.</w:t>
      </w:r>
    </w:p>
    <w:p>
      <w:pPr>
        <w:pStyle w:val="Heading2"/>
      </w:pPr>
      <w:r>
        <w:t>Week 6: SOP review</w:t>
      </w:r>
    </w:p>
    <w:p>
      <w:pPr>
        <w:jc w:val="both"/>
      </w:pPr>
      <w:r>
        <w:t>Work done: SOP review. Most of the week was spent shadowing team members and then repeating the tasks independently.</w:t>
      </w:r>
    </w:p>
    <w:p>
      <w:r>
        <w:rPr>
          <w:i/>
          <w:color w:val="6B7079"/>
        </w:rPr>
        <w:t>Learning: Writing clear procedures.</w:t>
      </w:r>
    </w:p>
    <w:p>
      <w:pPr>
        <w:pStyle w:val="Heading2"/>
      </w:pPr>
      <w:r>
        <w:t>Week 7: Turnaround time analysis</w:t>
      </w:r>
    </w:p>
    <w:p>
      <w:pPr>
        <w:jc w:val="both"/>
      </w:pPr>
      <w:r>
        <w:t>Work done: Turnaround time analysis. At the weekly review my mentor suggested improvements, which I applied the following week.</w:t>
      </w:r>
    </w:p>
    <w:p>
      <w:r>
        <w:rPr>
          <w:i/>
          <w:color w:val="6B7079"/>
        </w:rPr>
        <w:t>Learning: Bottlenecks in the workflow.</w:t>
      </w:r>
    </w:p>
    <w:p>
      <w:pPr>
        <w:pStyle w:val="Heading2"/>
      </w:pPr>
      <w:r>
        <w:t>Week 8: Presentation and handover</w:t>
      </w:r>
    </w:p>
    <w:p>
      <w:pPr>
        <w:jc w:val="both"/>
      </w:pPr>
      <w:r>
        <w:t>Work done: Presentation and handover. I documented the steps I followed so that the next intern could repeat them easily.</w:t>
      </w:r>
    </w:p>
    <w:p>
      <w:r>
        <w:rPr>
          <w:i/>
          <w:color w:val="6B7079"/>
        </w:rPr>
        <w:t>Learning: Summarising findings.</w:t>
      </w:r>
    </w:p>
    <w:p>
      <w:pPr>
        <w:pStyle w:val="Heading1"/>
      </w:pPr>
      <w:r>
        <w:t>Projects Undertaken</w:t>
      </w:r>
    </w:p>
    <w:p>
      <w:pPr>
        <w:pStyle w:val="Heading2"/>
      </w:pPr>
      <w:r>
        <w:t>Project 1: QC chart digitisation</w:t>
      </w:r>
    </w:p>
    <w:p>
      <w:r>
        <w:rPr>
          <w:b/>
          <w:color w:val="7C2D12"/>
        </w:rPr>
        <w:t xml:space="preserve">Problem: </w:t>
      </w:r>
      <w:r>
        <w:t>QC results were plotted by hand.</w:t>
      </w:r>
    </w:p>
    <w:p>
      <w:r>
        <w:rPr>
          <w:b/>
          <w:color w:val="7C2D12"/>
        </w:rPr>
        <w:t xml:space="preserve">Approach: </w:t>
      </w:r>
      <w:r>
        <w:t>Built an Excel template that plots Levey–Jennings charts and flags rule violations.</w:t>
      </w:r>
    </w:p>
    <w:p>
      <w:r>
        <w:rPr>
          <w:b/>
          <w:color w:val="7C2D12"/>
        </w:rPr>
        <w:t xml:space="preserve">Outcome: </w:t>
      </w:r>
      <w:r>
        <w:t>Adopted for two analysers (sample outcome).</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2835" w:hRule="exact"/>
        </w:trPr>
        <w:tc>
          <w:tcPr>
            <w:tcW w:type="dxa" w:w="9411"/>
            <w:shd w:val="clear" w:color="auto" w:fill="F2EAE7"/>
            <w:vAlign w:val="center"/>
          </w:tcPr>
          <w:p>
            <w:pPr>
              <w:jc w:val="center"/>
            </w:pPr>
            <w:r>
              <w:rPr>
                <w:color w:val="6B7079"/>
                <w:sz w:val="20"/>
              </w:rPr>
              <w:t>Figure placeholder — screenshot, drawing or photo of your work</w:t>
            </w:r>
          </w:p>
        </w:tc>
      </w:tr>
    </w:tbl>
    <w:p>
      <w:pPr>
        <w:pStyle w:val="Caption"/>
        <w:spacing w:before="80"/>
        <w:jc w:val="center"/>
      </w:pPr>
      <w:r>
        <w:t>Figure 1: QC chart digitisation</w:t>
      </w:r>
    </w:p>
    <w:p>
      <w:pPr>
        <w:pStyle w:val="Heading2"/>
      </w:pPr>
      <w:r>
        <w:t>Project 2: Turnaround time study</w:t>
      </w:r>
    </w:p>
    <w:p>
      <w:r>
        <w:rPr>
          <w:b/>
          <w:color w:val="7C2D12"/>
        </w:rPr>
        <w:t xml:space="preserve">Problem: </w:t>
      </w:r>
      <w:r>
        <w:t>Some reports were delayed.</w:t>
      </w:r>
    </w:p>
    <w:p>
      <w:r>
        <w:rPr>
          <w:b/>
          <w:color w:val="7C2D12"/>
        </w:rPr>
        <w:t xml:space="preserve">Approach: </w:t>
      </w:r>
      <w:r>
        <w:t>Recorded timestamps for 200 samples and identified waiting steps.</w:t>
      </w:r>
    </w:p>
    <w:p>
      <w:r>
        <w:rPr>
          <w:b/>
          <w:color w:val="7C2D12"/>
        </w:rPr>
        <w:t xml:space="preserve">Outcome: </w:t>
      </w:r>
      <w:r>
        <w:t>Suggested batching changes at sample reception.</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2835" w:hRule="exact"/>
        </w:trPr>
        <w:tc>
          <w:tcPr>
            <w:tcW w:type="dxa" w:w="9411"/>
            <w:shd w:val="clear" w:color="auto" w:fill="F2EAE7"/>
            <w:vAlign w:val="center"/>
          </w:tcPr>
          <w:p>
            <w:pPr>
              <w:jc w:val="center"/>
            </w:pPr>
            <w:r>
              <w:rPr>
                <w:color w:val="6B7079"/>
                <w:sz w:val="20"/>
              </w:rPr>
              <w:t>Figure placeholder — screenshot, drawing or photo of your work</w:t>
            </w:r>
          </w:p>
        </w:tc>
      </w:tr>
    </w:tbl>
    <w:p>
      <w:pPr>
        <w:pStyle w:val="Caption"/>
        <w:spacing w:before="80"/>
        <w:jc w:val="center"/>
      </w:pPr>
      <w:r>
        <w:t>Figure 2: Turnaround time study</w:t>
      </w:r>
    </w:p>
    <w:p>
      <w:pPr>
        <w:pStyle w:val="Heading1"/>
      </w:pPr>
      <w:r>
        <w:t>Skills and Learning Outcomes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7C2D12"/>
          </w:tcPr>
          <w:p>
            <w:pPr>
              <w:spacing w:after="0"/>
            </w:pPr>
            <w:r/>
            <w:r>
              <w:rPr>
                <w:b/>
                <w:color w:val="FFFFFF"/>
                <w:sz w:val="20"/>
              </w:rPr>
              <w:t>Skill area</w:t>
            </w:r>
          </w:p>
        </w:tc>
        <w:tc>
          <w:tcPr>
            <w:tcW w:type="dxa" w:w="6722"/>
            <w:vAlign w:val="center"/>
            <w:shd w:val="clear" w:color="auto" w:fill="7C2D12"/>
          </w:tcPr>
          <w:p>
            <w:pPr>
              <w:spacing w:after="0"/>
            </w:pPr>
            <w:r/>
            <w:r>
              <w:rPr>
                <w:b/>
                <w:color w:val="FFFFFF"/>
                <w:sz w:val="20"/>
              </w:rPr>
              <w:t>What I learned</w:t>
            </w:r>
          </w:p>
        </w:tc>
      </w:tr>
      <w:tr>
        <w:tc>
          <w:tcPr>
            <w:tcW w:type="dxa" w:w="2689"/>
            <w:vAlign w:val="center"/>
          </w:tcPr>
          <w:p>
            <w:pPr>
              <w:spacing w:after="0"/>
            </w:pPr>
            <w:r/>
            <w:r>
              <w:rPr>
                <w:sz w:val="20"/>
              </w:rPr>
              <w:t>Technical</w:t>
            </w:r>
          </w:p>
        </w:tc>
        <w:tc>
          <w:tcPr>
            <w:tcW w:type="dxa" w:w="6722"/>
            <w:vAlign w:val="center"/>
          </w:tcPr>
          <w:p>
            <w:pPr>
              <w:spacing w:after="0"/>
            </w:pPr>
            <w:r/>
            <w:r>
              <w:rPr>
                <w:sz w:val="20"/>
              </w:rPr>
              <w:t>QC rules, calibration, documentation</w:t>
            </w:r>
          </w:p>
        </w:tc>
      </w:tr>
      <w:tr>
        <w:tc>
          <w:tcPr>
            <w:tcW w:type="dxa" w:w="2689"/>
            <w:vAlign w:val="center"/>
            <w:shd w:val="clear" w:color="auto" w:fill="F2EAE7"/>
          </w:tcPr>
          <w:p>
            <w:pPr>
              <w:spacing w:after="0"/>
            </w:pPr>
            <w:r/>
            <w:r>
              <w:rPr>
                <w:sz w:val="20"/>
              </w:rPr>
              <w:t>Quality</w:t>
            </w:r>
          </w:p>
        </w:tc>
        <w:tc>
          <w:tcPr>
            <w:tcW w:type="dxa" w:w="6722"/>
            <w:vAlign w:val="center"/>
            <w:shd w:val="clear" w:color="auto" w:fill="F2EAE7"/>
          </w:tcPr>
          <w:p>
            <w:pPr>
              <w:spacing w:after="0"/>
            </w:pPr>
            <w:r/>
            <w:r>
              <w:rPr>
                <w:sz w:val="20"/>
              </w:rPr>
              <w:t>Audits, corrective actions, SOPs</w:t>
            </w:r>
          </w:p>
        </w:tc>
      </w:tr>
      <w:tr>
        <w:tc>
          <w:tcPr>
            <w:tcW w:type="dxa" w:w="2689"/>
            <w:vAlign w:val="center"/>
          </w:tcPr>
          <w:p>
            <w:pPr>
              <w:spacing w:after="0"/>
            </w:pPr>
            <w:r/>
            <w:r>
              <w:rPr>
                <w:sz w:val="20"/>
              </w:rPr>
              <w:t>Professional</w:t>
            </w:r>
          </w:p>
        </w:tc>
        <w:tc>
          <w:tcPr>
            <w:tcW w:type="dxa" w:w="6722"/>
            <w:vAlign w:val="center"/>
          </w:tcPr>
          <w:p>
            <w:pPr>
              <w:spacing w:after="0"/>
            </w:pPr>
            <w:r/>
            <w:r>
              <w:rPr>
                <w:sz w:val="20"/>
              </w:rPr>
              <w:t>Biosafety, confidentiality, teamwork</w:t>
            </w:r>
          </w:p>
        </w:tc>
      </w:tr>
    </w:tbl>
    <w:p>
      <w:pPr>
        <w:spacing w:after="80"/>
      </w:pPr>
    </w:p>
    <w:p>
      <w:pPr>
        <w:pStyle w:val="Heading2"/>
      </w:pPr>
      <w:r>
        <w:t>Challenges Faced</w:t>
      </w:r>
    </w:p>
    <w:p>
      <w:pPr>
        <w:pStyle w:val="ListBullet"/>
      </w:pPr>
      <w:r>
        <w:t>Understanding many SOPs in a short time</w:t>
      </w:r>
    </w:p>
    <w:p>
      <w:pPr>
        <w:pStyle w:val="ListBullet"/>
      </w:pPr>
      <w:r>
        <w:t>Maintaining accuracy while recording data</w:t>
      </w:r>
    </w:p>
    <w:p>
      <w:pPr>
        <w:pStyle w:val="Heading1"/>
      </w:pPr>
      <w:r>
        <w:t>Conclusion</w:t>
      </w:r>
    </w:p>
    <w:p>
      <w:pPr>
        <w:jc w:val="both"/>
      </w:pPr>
      <w:r>
        <w:t>The internship helped me appreciate how quality systems protect patients and how every step in the laboratory affects the final report.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Suggestions for future interns</w:t>
            </w:r>
          </w:p>
          <w:p>
            <w:pPr>
              <w:spacing w:after="0"/>
            </w:pPr>
            <w:r>
              <w:t>Revise QC concepts and be very careful with labelling and documentation.</w:t>
            </w:r>
          </w:p>
        </w:tc>
      </w:tr>
    </w:tbl>
    <w:p>
      <w:pPr>
        <w:spacing w:after="40"/>
      </w:pPr>
    </w:p>
    <w:p>
      <w:pPr>
        <w:pStyle w:val="Heading1"/>
      </w:pPr>
      <w:r>
        <w:t>Appendix: Attendance and Evaluation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973"/>
        <w:gridCol w:w="1622"/>
        <w:gridCol w:w="4868"/>
        <w:gridCol w:w="1947"/>
      </w:tblGrid>
      <w:tr>
        <w:trPr>
          <w:tblHeader/>
        </w:trPr>
        <w:tc>
          <w:tcPr>
            <w:tcW w:type="dxa" w:w="974"/>
            <w:vAlign w:val="center"/>
            <w:shd w:val="clear" w:color="auto" w:fill="7C2D12"/>
          </w:tcPr>
          <w:p>
            <w:pPr>
              <w:spacing w:after="0"/>
              <w:jc w:val="center"/>
            </w:pPr>
            <w:r/>
            <w:r>
              <w:rPr>
                <w:b/>
                <w:color w:val="FFFFFF"/>
                <w:sz w:val="20"/>
              </w:rPr>
              <w:t>Week</w:t>
            </w:r>
          </w:p>
        </w:tc>
        <w:tc>
          <w:tcPr>
            <w:tcW w:type="dxa" w:w="1623"/>
            <w:vAlign w:val="center"/>
            <w:shd w:val="clear" w:color="auto" w:fill="7C2D12"/>
          </w:tcPr>
          <w:p>
            <w:pPr>
              <w:spacing w:after="0"/>
              <w:jc w:val="center"/>
            </w:pPr>
            <w:r/>
            <w:r>
              <w:rPr>
                <w:b/>
                <w:color w:val="FFFFFF"/>
                <w:sz w:val="20"/>
              </w:rPr>
              <w:t>Days present</w:t>
            </w:r>
          </w:p>
        </w:tc>
        <w:tc>
          <w:tcPr>
            <w:tcW w:type="dxa" w:w="4868"/>
            <w:vAlign w:val="center"/>
            <w:shd w:val="clear" w:color="auto" w:fill="7C2D12"/>
          </w:tcPr>
          <w:p>
            <w:pPr>
              <w:spacing w:after="0"/>
              <w:jc w:val="left"/>
            </w:pPr>
            <w:r/>
            <w:r>
              <w:rPr>
                <w:b/>
                <w:color w:val="FFFFFF"/>
                <w:sz w:val="20"/>
              </w:rPr>
              <w:t>Mentor remarks</w:t>
            </w:r>
          </w:p>
        </w:tc>
        <w:tc>
          <w:tcPr>
            <w:tcW w:type="dxa" w:w="1947"/>
            <w:vAlign w:val="center"/>
            <w:shd w:val="clear" w:color="auto" w:fill="7C2D12"/>
          </w:tcPr>
          <w:p>
            <w:pPr>
              <w:spacing w:after="0"/>
              <w:jc w:val="center"/>
            </w:pPr>
            <w:r/>
            <w:r>
              <w:rPr>
                <w:b/>
                <w:color w:val="FFFFFF"/>
                <w:sz w:val="20"/>
              </w:rPr>
              <w:t>Mentor sign</w:t>
            </w:r>
          </w:p>
        </w:tc>
      </w:tr>
      <w:tr>
        <w:tc>
          <w:tcPr>
            <w:tcW w:type="dxa" w:w="974"/>
            <w:vAlign w:val="center"/>
          </w:tcPr>
          <w:p>
            <w:pPr>
              <w:spacing w:after="0"/>
              <w:jc w:val="center"/>
            </w:pPr>
            <w:r/>
            <w:r>
              <w:rPr>
                <w:sz w:val="20"/>
              </w:rPr>
              <w:t>1</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2</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3</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4</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5</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6</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7</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r>
        <w:tc>
          <w:tcPr>
            <w:tcW w:type="dxa" w:w="974"/>
            <w:vAlign w:val="center"/>
          </w:tcPr>
          <w:p>
            <w:pPr>
              <w:spacing w:after="0"/>
              <w:jc w:val="center"/>
            </w:pPr>
            <w:r/>
            <w:r>
              <w:rPr>
                <w:sz w:val="20"/>
              </w:rPr>
              <w:t>8</w:t>
            </w:r>
          </w:p>
        </w:tc>
        <w:tc>
          <w:tcPr>
            <w:tcW w:type="dxa" w:w="1623"/>
            <w:vAlign w:val="center"/>
          </w:tcPr>
          <w:p>
            <w:pPr>
              <w:spacing w:after="0"/>
              <w:jc w:val="center"/>
            </w:pPr>
            <w:r/>
            <w:r>
              <w:rPr>
                <w:sz w:val="20"/>
              </w:rPr>
              <w:t>5 / 5</w:t>
            </w:r>
          </w:p>
        </w:tc>
        <w:tc>
          <w:tcPr>
            <w:tcW w:type="dxa" w:w="4868"/>
            <w:vAlign w:val="center"/>
          </w:tcPr>
          <w:p>
            <w:pPr>
              <w:spacing w:after="0"/>
              <w:jc w:val="left"/>
            </w:pPr>
            <w:r/>
            <w:r>
              <w:rPr>
                <w:sz w:val="20"/>
              </w:rPr>
            </w:r>
          </w:p>
        </w:tc>
        <w:tc>
          <w:tcPr>
            <w:tcW w:type="dxa" w:w="1947"/>
            <w:vAlign w:val="center"/>
          </w:tcPr>
          <w:p>
            <w:pPr>
              <w:spacing w:after="0"/>
              <w:jc w:val="center"/>
            </w:pPr>
            <w:r/>
            <w:r>
              <w:rPr>
                <w:sz w:val="20"/>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361"/>
        <w:gridCol w:w="1479"/>
        <w:gridCol w:w="1479"/>
        <w:gridCol w:w="1479"/>
        <w:gridCol w:w="1613"/>
      </w:tblGrid>
      <w:tr>
        <w:trPr>
          <w:tblHeader/>
        </w:trPr>
        <w:tc>
          <w:tcPr>
            <w:tcW w:type="dxa" w:w="3361"/>
            <w:vAlign w:val="center"/>
            <w:shd w:val="clear" w:color="auto" w:fill="7C2D12"/>
          </w:tcPr>
          <w:p>
            <w:pPr>
              <w:spacing w:after="0"/>
              <w:jc w:val="left"/>
            </w:pPr>
            <w:r/>
            <w:r>
              <w:rPr>
                <w:b/>
                <w:color w:val="FFFFFF"/>
                <w:sz w:val="20"/>
              </w:rPr>
              <w:t>Criterion</w:t>
            </w:r>
          </w:p>
        </w:tc>
        <w:tc>
          <w:tcPr>
            <w:tcW w:type="dxa" w:w="1479"/>
            <w:vAlign w:val="center"/>
            <w:shd w:val="clear" w:color="auto" w:fill="7C2D12"/>
          </w:tcPr>
          <w:p>
            <w:pPr>
              <w:spacing w:after="0"/>
              <w:jc w:val="center"/>
            </w:pPr>
            <w:r/>
            <w:r>
              <w:rPr>
                <w:b/>
                <w:color w:val="FFFFFF"/>
                <w:sz w:val="20"/>
              </w:rPr>
              <w:t>Excellent</w:t>
            </w:r>
          </w:p>
        </w:tc>
        <w:tc>
          <w:tcPr>
            <w:tcW w:type="dxa" w:w="1479"/>
            <w:vAlign w:val="center"/>
            <w:shd w:val="clear" w:color="auto" w:fill="7C2D12"/>
          </w:tcPr>
          <w:p>
            <w:pPr>
              <w:spacing w:after="0"/>
              <w:jc w:val="center"/>
            </w:pPr>
            <w:r/>
            <w:r>
              <w:rPr>
                <w:b/>
                <w:color w:val="FFFFFF"/>
                <w:sz w:val="20"/>
              </w:rPr>
              <w:t>Good</w:t>
            </w:r>
          </w:p>
        </w:tc>
        <w:tc>
          <w:tcPr>
            <w:tcW w:type="dxa" w:w="1479"/>
            <w:vAlign w:val="center"/>
            <w:shd w:val="clear" w:color="auto" w:fill="7C2D12"/>
          </w:tcPr>
          <w:p>
            <w:pPr>
              <w:spacing w:after="0"/>
              <w:jc w:val="center"/>
            </w:pPr>
            <w:r/>
            <w:r>
              <w:rPr>
                <w:b/>
                <w:color w:val="FFFFFF"/>
                <w:sz w:val="20"/>
              </w:rPr>
              <w:t>Average</w:t>
            </w:r>
          </w:p>
        </w:tc>
        <w:tc>
          <w:tcPr>
            <w:tcW w:type="dxa" w:w="1613"/>
            <w:vAlign w:val="center"/>
            <w:shd w:val="clear" w:color="auto" w:fill="7C2D12"/>
          </w:tcPr>
          <w:p>
            <w:pPr>
              <w:spacing w:after="0"/>
              <w:jc w:val="center"/>
            </w:pPr>
            <w:r/>
            <w:r>
              <w:rPr>
                <w:b/>
                <w:color w:val="FFFFFF"/>
                <w:sz w:val="20"/>
              </w:rPr>
              <w:t>Needs work</w:t>
            </w:r>
          </w:p>
        </w:tc>
      </w:tr>
      <w:tr>
        <w:tc>
          <w:tcPr>
            <w:tcW w:type="dxa" w:w="3361"/>
            <w:vAlign w:val="center"/>
          </w:tcPr>
          <w:p>
            <w:pPr>
              <w:spacing w:after="0"/>
              <w:jc w:val="left"/>
            </w:pPr>
            <w:r/>
            <w:r>
              <w:rPr>
                <w:sz w:val="20"/>
              </w:rPr>
              <w:t>Technical skills</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r>
        <w:tc>
          <w:tcPr>
            <w:tcW w:type="dxa" w:w="3361"/>
            <w:vAlign w:val="center"/>
          </w:tcPr>
          <w:p>
            <w:pPr>
              <w:spacing w:after="0"/>
              <w:jc w:val="left"/>
            </w:pPr>
            <w:r/>
            <w:r>
              <w:rPr>
                <w:sz w:val="20"/>
              </w:rPr>
              <w:t>Communication</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r>
        <w:tc>
          <w:tcPr>
            <w:tcW w:type="dxa" w:w="3361"/>
            <w:vAlign w:val="center"/>
          </w:tcPr>
          <w:p>
            <w:pPr>
              <w:spacing w:after="0"/>
              <w:jc w:val="left"/>
            </w:pPr>
            <w:r/>
            <w:r>
              <w:rPr>
                <w:sz w:val="20"/>
              </w:rPr>
              <w:t>Punctuality</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r>
        <w:tc>
          <w:tcPr>
            <w:tcW w:type="dxa" w:w="3361"/>
            <w:vAlign w:val="center"/>
          </w:tcPr>
          <w:p>
            <w:pPr>
              <w:spacing w:after="0"/>
              <w:jc w:val="left"/>
            </w:pPr>
            <w:r/>
            <w:r>
              <w:rPr>
                <w:sz w:val="20"/>
              </w:rPr>
              <w:t>Teamwork</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r>
        <w:tc>
          <w:tcPr>
            <w:tcW w:type="dxa" w:w="3361"/>
            <w:vAlign w:val="center"/>
          </w:tcPr>
          <w:p>
            <w:pPr>
              <w:spacing w:after="0"/>
              <w:jc w:val="left"/>
            </w:pPr>
            <w:r/>
            <w:r>
              <w:rPr>
                <w:sz w:val="20"/>
              </w:rPr>
              <w:t>Initiative</w:t>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479"/>
            <w:vAlign w:val="center"/>
          </w:tcPr>
          <w:p>
            <w:pPr>
              <w:spacing w:after="0"/>
              <w:jc w:val="center"/>
            </w:pPr>
            <w:r/>
            <w:r>
              <w:rPr>
                <w:sz w:val="20"/>
              </w:rPr>
            </w:r>
          </w:p>
        </w:tc>
        <w:tc>
          <w:tcPr>
            <w:tcW w:type="dxa" w:w="1613"/>
            <w:vAlign w:val="center"/>
          </w:tcPr>
          <w:p>
            <w:pPr>
              <w:spacing w:after="0"/>
              <w:jc w:val="center"/>
            </w:pPr>
            <w:r/>
            <w:r>
              <w:rPr>
                <w:sz w:val="20"/>
              </w:rPr>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of </w:t>
    </w:r>
    <w:r>
      <w:rPr>
        <w:color w:val="6B7079"/>
        <w:sz w:val="18"/>
      </w:rPr>
      <w:fldChar w:fldCharType="begin"/>
    </w:r>
    <w:r>
      <w:rPr>
        <w:color w:val="6B7079"/>
        <w:sz w:val="18"/>
      </w:rPr>
      <w:instrText xml:space="preserve"> NUMPAGES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BCCCF"/>
      </w:pBdr>
    </w:pPr>
    <w:r/>
    <w:r>
      <w:rPr>
        <w:caps w:val="0"/>
        <w:color w:val="6B7079"/>
        <w:sz w:val="17"/>
      </w:rPr>
      <w:t>Internship Report · CarePlus Diagnostics</w:t>
    </w:r>
    <w:r>
      <w:rPr>
        <w:color w:val="6B7079"/>
        <w:sz w:val="17"/>
      </w:rPr>
      <w:tab/>
      <w:t>Sana Fatima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11827"/>
      </w:pBdr>
    </w:pPr>
    <w:rPr>
      <w:rFonts w:ascii="Outfit" w:hAnsi="Outfit" w:cs="Outfit" w:eastAsia="Outfit"/>
      <w:b/>
      <w:bCs/>
      <w:i w:val="0"/>
      <w:caps/>
      <w:color w:val="111827"/>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7C2D1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11182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Outfit" w:hAnsi="Outfit" w:cs="Outfit" w:eastAsia="Outfit"/>
      <w:b/>
      <w:sz w:val="24"/>
      <w:szCs w:val="24"/>
    </w:rPr>
  </w:style>
  <w:style w:type="paragraph" w:customStyle="1" w:styleId="TOC2">
    <w:name w:val="TOC 2"/>
    <w:basedOn w:val="Normal"/>
    <w:pPr>
      <w:tabs>
        <w:tab w:pos="9411"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