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240" w:type="dxa"/>
          <w:left w:w="360" w:type="dxa"/>
          <w:bottom w:w="240" w:type="dxa"/>
          <w:right w:w="360" w:type="dxa"/>
        </w:tblCellMar>
      </w:tblPr>
      <w:tblGrid>
        <w:gridCol w:w="9026"/>
      </w:tblGrid>
      <w:tr>
        <w:tc>
          <w:tcPr>
            <w:tcW w:type="dxa" w:w="9026"/>
            <w:shd w:val="clear" w:color="auto" w:fill="111827"/>
          </w:tcPr>
          <w:p>
            <w:pPr>
              <w:spacing w:after="0"/>
            </w:pPr>
            <w:r>
              <w:rPr>
                <w:b/>
                <w:i w:val="0"/>
                <w:caps/>
                <w:color w:val="FFFFFF"/>
                <w:sz w:val="22"/>
                <w:spacing w:val="40"/>
              </w:rPr>
              <w:t>Your College, University of Delhi</w:t>
            </w:r>
          </w:p>
        </w:tc>
      </w:tr>
    </w:tbl>
    <w:p>
      <w:pPr>
        <w:spacing w:after="2400"/>
      </w:pPr>
    </w:p>
    <w:p>
      <w:r>
        <w:rPr>
          <w:b/>
          <w:i w:val="0"/>
          <w:caps/>
          <w:color w:val="9A3412"/>
          <w:sz w:val="20"/>
          <w:spacing w:val="40"/>
        </w:rPr>
        <w:t>Summer Internship Report · May–June 2025</w:t>
      </w:r>
    </w:p>
    <w:p>
      <w:pPr>
        <w:pStyle w:val="Title"/>
      </w:pPr>
      <w:r>
        <w:t>Internship Report</w:t>
      </w:r>
    </w:p>
    <w:p>
      <w:pPr>
        <w:spacing w:after="2400"/>
      </w:pPr>
      <w:r>
        <w:rPr>
          <w:b w:val="0"/>
          <w:i w:val="0"/>
          <w:color w:val="6B7079"/>
          <w:sz w:val="28"/>
        </w:rPr>
        <w:t>Accounts and Taxation Intern at Agarwal &amp; Mehta Associates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6B7079"/>
                <w:sz w:val="16"/>
              </w:rPr>
              <w:t>SUBMITTED BY</w:t>
            </w:r>
          </w:p>
        </w:tc>
        <w:tc>
          <w:tcPr>
            <w:tcW w:type="dxa" w:w="3009"/>
          </w:tcPr>
          <w:p>
            <w:pPr>
              <w:spacing w:after="0"/>
              <w:jc w:val="left"/>
            </w:pPr>
            <w:r>
              <w:rPr>
                <w:b/>
                <w:color w:val="6B7079"/>
                <w:sz w:val="16"/>
              </w:rPr>
              <w:t>ORGANISATION</w:t>
            </w:r>
          </w:p>
        </w:tc>
        <w:tc>
          <w:tcPr>
            <w:tcW w:type="dxa" w:w="3009"/>
          </w:tcPr>
          <w:p>
            <w:pPr>
              <w:spacing w:after="0"/>
              <w:jc w:val="left"/>
            </w:pPr>
            <w:r>
              <w:rPr>
                <w:b/>
                <w:color w:val="6B7079"/>
                <w:sz w:val="16"/>
              </w:rPr>
              <w:t>FACULTY MENTOR</w:t>
            </w:r>
          </w:p>
        </w:tc>
      </w:tr>
      <w:tr>
        <w:tc>
          <w:tcPr>
            <w:tcW w:type="dxa" w:w="3009"/>
          </w:tcPr>
          <w:p>
            <w:pPr>
              <w:spacing w:after="0"/>
              <w:jc w:val="left"/>
            </w:pPr>
            <w:r>
              <w:rPr>
                <w:color w:val="111827"/>
                <w:sz w:val="21"/>
              </w:rPr>
              <w:t>Aman Gupta</w:t>
              <w:br/>
              <w:t>Roll No. BCOM23-145</w:t>
            </w:r>
          </w:p>
        </w:tc>
        <w:tc>
          <w:tcPr>
            <w:tcW w:type="dxa" w:w="3009"/>
          </w:tcPr>
          <w:p>
            <w:pPr>
              <w:spacing w:after="0"/>
              <w:jc w:val="left"/>
            </w:pPr>
            <w:r>
              <w:rPr>
                <w:color w:val="111827"/>
                <w:sz w:val="21"/>
              </w:rPr>
              <w:t>Agarwal &amp; Mehta Associates, New Delhi</w:t>
            </w:r>
          </w:p>
        </w:tc>
        <w:tc>
          <w:tcPr>
            <w:tcW w:type="dxa" w:w="3009"/>
          </w:tcPr>
          <w:p>
            <w:pPr>
              <w:spacing w:after="0"/>
              <w:jc w:val="left"/>
            </w:pPr>
            <w:r>
              <w:rPr>
                <w:color w:val="111827"/>
                <w:sz w:val="21"/>
              </w:rPr>
              <w:t>Dr. Ritu Jain</w:t>
            </w:r>
          </w:p>
        </w:tc>
      </w:tr>
    </w:tbl>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9026"/>
      </w:tblGrid>
      <w:tr>
        <w:trPr>
          <w:trHeight w:val="283" w:hRule="exact"/>
        </w:trPr>
        <w:tc>
          <w:tcPr>
            <w:tcW w:type="dxa" w:w="9026"/>
            <w:shd w:val="clear" w:color="auto" w:fill="9A3412"/>
          </w:tcP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9A3412"/>
          <w:left w:val="thinThickSmallGap" w:sz="18" w:space="0" w:color="9A3412"/>
          <w:bottom w:val="thinThickSmallGap" w:sz="18" w:space="0" w:color="9A3412"/>
          <w:right w:val="thinThickSmallGap" w:sz="18" w:space="0" w:color="9A3412"/>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Cambria" w:hAnsi="Cambria" w:cs="Cambria" w:eastAsia="Cambria"/>
                <w:b/>
                <w:color w:val="9A3412"/>
                <w:sz w:val="44"/>
              </w:rPr>
              <w:t>INTERNSHIP CERTIFICATE</w:t>
            </w:r>
          </w:p>
          <w:p>
            <w:pPr>
              <w:spacing w:after="240" w:line="360" w:lineRule="auto"/>
              <w:jc w:val="both"/>
            </w:pPr>
            <w:r>
              <w:t>This is to certify that Aman Gupta, a student of Bachelor Of Commerce (Honours) (Commerce) at Your College, University of Delhi, has successfully completed an internship with Agarwal &amp; Mehta Associates, New Delhi, as Accounts and Taxation Intern from 12 May 2025 to 20 June 2025.</w:t>
            </w:r>
          </w:p>
          <w:p>
            <w:pPr>
              <w:spacing w:after="240" w:line="360" w:lineRule="auto"/>
              <w:jc w:val="both"/>
            </w:pPr>
            <w:r>
              <w:t>During the internship the student worked with our Audit and Taxation team and contributed to bank reconciliation for a trading client.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513"/>
              <w:gridCol w:w="4513"/>
            </w:tblGrid>
            <w:tr>
              <w:tc>
                <w:tcPr>
                  <w:tcW w:type="dxa" w:w="4513"/>
                </w:tcPr>
                <w:p>
                  <w:pPr>
                    <w:jc w:val="center"/>
                  </w:pPr>
                  <w:r>
                    <w:t>______________________</w:t>
                  </w:r>
                </w:p>
              </w:tc>
              <w:tc>
                <w:tcPr>
                  <w:tcW w:type="dxa" w:w="4513"/>
                </w:tcPr>
                <w:p>
                  <w:pPr>
                    <w:jc w:val="center"/>
                  </w:pPr>
                  <w:r>
                    <w:t>______________________</w:t>
                  </w:r>
                </w:p>
              </w:tc>
            </w:tr>
            <w:tr>
              <w:tc>
                <w:tcPr>
                  <w:tcW w:type="dxa" w:w="4513"/>
                </w:tcPr>
                <w:p>
                  <w:pPr>
                    <w:jc w:val="center"/>
                  </w:pPr>
                  <w:r>
                    <w:rPr>
                      <w:b/>
                    </w:rPr>
                    <w:t>CA Rohit Mehta</w:t>
                    <w:br/>
                  </w:r>
                  <w:r>
                    <w:rPr>
                      <w:color w:val="6B7079"/>
                    </w:rPr>
                    <w:t>Partner, Agarwal &amp; Mehta Associates</w:t>
                  </w:r>
                </w:p>
              </w:tc>
              <w:tc>
                <w:tcPr>
                  <w:tcW w:type="dxa" w:w="4513"/>
                </w:tcPr>
                <w:p>
                  <w:pPr>
                    <w:jc w:val="center"/>
                  </w:pPr>
                  <w:r>
                    <w:rPr>
                      <w:b/>
                    </w:rPr>
                    <w:t>HR Department</w:t>
                    <w:br/>
                  </w:r>
                  <w:r>
                    <w:rPr>
                      <w:color w:val="6B7079"/>
                    </w:rPr>
                    <w:t>Agarwal &amp; Mehta Associates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Commerce, Your College, University of Delhi, is a record of the work I carried out at Agarwal &amp; Mehta Associates from 12 May 2025 to 20 June 2025 under the supervision of CA Rohit Mehta and the guidance of Dr. Ritu Jain. The report has not been submitted elsewhere for any degree or diploma.</w:t>
      </w:r>
    </w:p>
    <w:p>
      <w:pPr>
        <w:spacing w:before="480"/>
      </w:pPr>
      <w:r>
        <w:t>Place: ________________        Date: ________________</w:t>
      </w:r>
    </w:p>
    <w:p>
      <w:pPr>
        <w:spacing w:before="600"/>
        <w:jc w:val="right"/>
      </w:pPr>
      <w:r>
        <w:rPr>
          <w:b/>
        </w:rPr>
        <w:t>Aman Gupta</w:t>
      </w:r>
    </w:p>
    <w:p>
      <w:pPr>
        <w:pStyle w:val="Heading1"/>
      </w:pPr>
      <w:r>
        <w:t>Acknowledgement</w:t>
      </w:r>
    </w:p>
    <w:p>
      <w:pPr>
        <w:jc w:val="both"/>
      </w:pPr>
      <w:r>
        <w:t>I am grateful to Agarwal &amp; Mehta Associates for giving me the opportunity to work as Accounts and Taxation Intern and to experience a professional environment first-hand.</w:t>
      </w:r>
    </w:p>
    <w:p>
      <w:pPr>
        <w:jc w:val="both"/>
      </w:pPr>
      <w:r>
        <w:t>I sincerely thank my industry mentor, CA Rohit Mehta, for patient guidance, regular feedback and for trusting me with real work. I also thank the members of the Audit and Taxation team, who welcomed me and answered my questions.</w:t>
      </w:r>
    </w:p>
    <w:p>
      <w:pPr>
        <w:jc w:val="both"/>
      </w:pPr>
      <w:r>
        <w:t>I am thankful to Dr. Ritu Jain, my faculty mentor, and to the Head of the Department of Commerce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Agarwal &amp; Mehta Associates, a chartered accountancy firm offering audit, tax and advisory services. During the internship I worked as Accounts and Taxation Intern in the Audit and Taxation team. I assisted with bookkeeping, bank reconciliations, GST return data, vouching during audits and preparation of income tax computations.</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6645"/>
      </w:tblGrid>
      <w:tr>
        <w:tc>
          <w:tcPr>
            <w:tcW w:type="dxa" w:w="2381"/>
            <w:shd w:val="clear" w:color="auto" w:fill="F5EBE7"/>
          </w:tcPr>
          <w:p>
            <w:pPr>
              <w:spacing w:after="0"/>
            </w:pPr>
            <w:r>
              <w:rPr>
                <w:b/>
              </w:rPr>
              <w:t>Organisation</w:t>
            </w:r>
          </w:p>
        </w:tc>
        <w:tc>
          <w:tcPr>
            <w:tcW w:type="dxa" w:w="6644"/>
          </w:tcPr>
          <w:p>
            <w:pPr>
              <w:spacing w:after="0"/>
            </w:pPr>
            <w:r>
              <w:t>Agarwal &amp; Mehta Associates, New Delhi</w:t>
            </w:r>
          </w:p>
        </w:tc>
      </w:tr>
      <w:tr>
        <w:tc>
          <w:tcPr>
            <w:tcW w:type="dxa" w:w="2381"/>
            <w:shd w:val="clear" w:color="auto" w:fill="F5EBE7"/>
          </w:tcPr>
          <w:p>
            <w:pPr>
              <w:spacing w:after="0"/>
            </w:pPr>
            <w:r>
              <w:rPr>
                <w:b/>
              </w:rPr>
              <w:t>Domain</w:t>
            </w:r>
          </w:p>
        </w:tc>
        <w:tc>
          <w:tcPr>
            <w:tcW w:type="dxa" w:w="6644"/>
          </w:tcPr>
          <w:p>
            <w:pPr>
              <w:spacing w:after="0"/>
            </w:pPr>
            <w:r>
              <w:t>Chartered accountancy and advisory</w:t>
            </w:r>
          </w:p>
        </w:tc>
      </w:tr>
      <w:tr>
        <w:tc>
          <w:tcPr>
            <w:tcW w:type="dxa" w:w="2381"/>
            <w:shd w:val="clear" w:color="auto" w:fill="F5EBE7"/>
          </w:tcPr>
          <w:p>
            <w:pPr>
              <w:spacing w:after="0"/>
            </w:pPr>
            <w:r>
              <w:rPr>
                <w:b/>
              </w:rPr>
              <w:t>Role</w:t>
            </w:r>
          </w:p>
        </w:tc>
        <w:tc>
          <w:tcPr>
            <w:tcW w:type="dxa" w:w="6644"/>
          </w:tcPr>
          <w:p>
            <w:pPr>
              <w:spacing w:after="0"/>
            </w:pPr>
            <w:r>
              <w:t>Accounts and Taxation Intern</w:t>
            </w:r>
          </w:p>
        </w:tc>
      </w:tr>
      <w:tr>
        <w:tc>
          <w:tcPr>
            <w:tcW w:type="dxa" w:w="2381"/>
            <w:shd w:val="clear" w:color="auto" w:fill="F5EBE7"/>
          </w:tcPr>
          <w:p>
            <w:pPr>
              <w:spacing w:after="0"/>
            </w:pPr>
            <w:r>
              <w:rPr>
                <w:b/>
              </w:rPr>
              <w:t>Department</w:t>
            </w:r>
          </w:p>
        </w:tc>
        <w:tc>
          <w:tcPr>
            <w:tcW w:type="dxa" w:w="6644"/>
          </w:tcPr>
          <w:p>
            <w:pPr>
              <w:spacing w:after="0"/>
            </w:pPr>
            <w:r>
              <w:t>Audit and Taxation</w:t>
            </w:r>
          </w:p>
        </w:tc>
      </w:tr>
      <w:tr>
        <w:tc>
          <w:tcPr>
            <w:tcW w:type="dxa" w:w="2381"/>
            <w:shd w:val="clear" w:color="auto" w:fill="F5EBE7"/>
          </w:tcPr>
          <w:p>
            <w:pPr>
              <w:spacing w:after="0"/>
            </w:pPr>
            <w:r>
              <w:rPr>
                <w:b/>
              </w:rPr>
              <w:t>Duration</w:t>
            </w:r>
          </w:p>
        </w:tc>
        <w:tc>
          <w:tcPr>
            <w:tcW w:type="dxa" w:w="6644"/>
          </w:tcPr>
          <w:p>
            <w:pPr>
              <w:spacing w:after="0"/>
            </w:pPr>
            <w:r>
              <w:t>12 May 2025 – 20 June 2025 (6 weeks)</w:t>
            </w:r>
          </w:p>
        </w:tc>
      </w:tr>
      <w:tr>
        <w:tc>
          <w:tcPr>
            <w:tcW w:type="dxa" w:w="2381"/>
            <w:shd w:val="clear" w:color="auto" w:fill="F5EBE7"/>
          </w:tcPr>
          <w:p>
            <w:pPr>
              <w:spacing w:after="0"/>
            </w:pPr>
            <w:r>
              <w:rPr>
                <w:b/>
              </w:rPr>
              <w:t>Industry mentor</w:t>
            </w:r>
          </w:p>
        </w:tc>
        <w:tc>
          <w:tcPr>
            <w:tcW w:type="dxa" w:w="6644"/>
          </w:tcPr>
          <w:p>
            <w:pPr>
              <w:spacing w:after="0"/>
            </w:pPr>
            <w:r>
              <w:t>CA Rohit Mehta, Partner</w:t>
            </w:r>
          </w:p>
        </w:tc>
      </w:tr>
      <w:tr>
        <w:tc>
          <w:tcPr>
            <w:tcW w:type="dxa" w:w="2381"/>
            <w:shd w:val="clear" w:color="auto" w:fill="F5EBE7"/>
          </w:tcPr>
          <w:p>
            <w:pPr>
              <w:spacing w:after="0"/>
            </w:pPr>
            <w:r>
              <w:rPr>
                <w:b/>
              </w:rPr>
              <w:t>Tools used</w:t>
            </w:r>
          </w:p>
        </w:tc>
        <w:tc>
          <w:tcPr>
            <w:tcW w:type="dxa" w:w="6644"/>
          </w:tcPr>
          <w:p>
            <w:pPr>
              <w:spacing w:after="0"/>
            </w:pPr>
            <w:r>
              <w:t>Accounting software, Excel, GST portal (demo), Audit working papers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2"/>
      </w:pPr>
      <w:r>
        <w:t>Week 1: Firm orientation and confidentiality rules</w:t>
      </w:r>
      <w:r>
        <w:tab/>
        <w:t>9</w:t>
      </w:r>
    </w:p>
    <w:p>
      <w:pPr>
        <w:pStyle w:val="TOC2"/>
      </w:pPr>
      <w:r>
        <w:t>Week 2: Voucher entry and ledger scrutiny</w:t>
      </w:r>
      <w:r>
        <w:tab/>
        <w:t>9</w:t>
      </w:r>
    </w:p>
    <w:p>
      <w:pPr>
        <w:pStyle w:val="TOC2"/>
      </w:pPr>
      <w:r>
        <w:t>Week 3: Bank reconciliation for two clients</w:t>
      </w:r>
      <w:r>
        <w:tab/>
        <w:t>9</w:t>
      </w:r>
    </w:p>
    <w:p>
      <w:pPr>
        <w:pStyle w:val="TOC2"/>
      </w:pPr>
      <w:r>
        <w:t>Week 4: GST sales and purchase registers</w:t>
      </w:r>
      <w:r>
        <w:tab/>
        <w:t>9</w:t>
      </w:r>
    </w:p>
    <w:p>
      <w:pPr>
        <w:pStyle w:val="TOC2"/>
      </w:pPr>
      <w:r>
        <w:t>Week 5: Audit vouching at a client office</w:t>
      </w:r>
      <w:r>
        <w:tab/>
        <w:t>10</w:t>
      </w:r>
    </w:p>
    <w:p>
      <w:pPr>
        <w:pStyle w:val="TOC2"/>
      </w:pPr>
      <w:r>
        <w:t>Week 6: Income tax computation drafts</w:t>
      </w:r>
      <w:r>
        <w:tab/>
        <w:t>10</w:t>
      </w:r>
    </w:p>
    <w:p>
      <w:pPr>
        <w:pStyle w:val="TOC1"/>
      </w:pPr>
      <w:r>
        <w:t>04  Projects Undertaken</w:t>
      </w:r>
      <w:r>
        <w:tab/>
        <w:t>11</w:t>
      </w:r>
    </w:p>
    <w:p>
      <w:pPr>
        <w:pStyle w:val="TOC2"/>
      </w:pPr>
      <w:r>
        <w:t>Project 1: Bank reconciliation for a trading client</w:t>
      </w:r>
      <w:r>
        <w:tab/>
        <w:t>11</w:t>
      </w:r>
    </w:p>
    <w:p>
      <w:pPr>
        <w:pStyle w:val="TOC2"/>
      </w:pPr>
      <w:r>
        <w:t>Project 2: GST data preparation</w:t>
      </w:r>
      <w:r>
        <w:tab/>
        <w:t>11</w:t>
      </w:r>
    </w:p>
    <w:p>
      <w:pPr>
        <w:pStyle w:val="TOC1"/>
      </w:pPr>
      <w:r>
        <w:t>05  Skills and Learning Outcomes</w:t>
      </w:r>
      <w:r>
        <w:tab/>
        <w:t>12</w:t>
      </w:r>
    </w:p>
    <w:p>
      <w:pPr>
        <w:pStyle w:val="TOC2"/>
      </w:pPr>
      <w:r>
        <w:t>Challenges Faced</w:t>
      </w:r>
      <w:r>
        <w:tab/>
        <w:t>12</w:t>
      </w:r>
    </w:p>
    <w:p>
      <w:pPr>
        <w:pStyle w:val="TOC1"/>
      </w:pPr>
      <w:r>
        <w:t>06  Conclusion</w:t>
      </w:r>
      <w:r>
        <w:tab/>
        <w:t>13</w:t>
      </w:r>
    </w:p>
    <w:p>
      <w:pPr>
        <w:pStyle w:val="TOC1"/>
      </w:pPr>
      <w:r>
        <w:t>07  Appendix: Attendance and Evaluation</w:t>
      </w:r>
      <w:r>
        <w:tab/>
        <w:t>14</w:t>
      </w:r>
    </w:p>
    <w:p>
      <w:pPr>
        <w:spacing w:after="0"/>
      </w:pPr>
      <w:r>
        <w:fldChar w:fldCharType="end"/>
      </w:r>
    </w:p>
    <w:p>
      <w:pPr>
        <w:pStyle w:val="Heading1"/>
      </w:pPr>
      <w:r>
        <w:t>01  Company Profile</w:t>
      </w:r>
    </w:p>
    <w:p>
      <w:pPr>
        <w:pStyle w:val="Heading2"/>
      </w:pPr>
      <w:r>
        <w:t>About the Organisation</w:t>
      </w:r>
    </w:p>
    <w:p>
      <w:pPr>
        <w:jc w:val="both"/>
      </w:pPr>
      <w:r>
        <w:t>Agarwal &amp; Mehta Associates is a firm of chartered accountants serving small businesses, professionals and trusts. It provides statutory audit, income tax, GST compliance and business advisory services.</w:t>
      </w:r>
    </w:p>
    <w:p>
      <w:pPr>
        <w:pStyle w:val="Heading2"/>
      </w:pPr>
      <w:r>
        <w:t>Vision and Mission</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5EBE7"/>
            <w:tcBorders>
              <w:left w:val="single" w:sz="36" w:space="0" w:color="9A3412"/>
            </w:tcBorders>
          </w:tcPr>
          <w:p>
            <w:pPr>
              <w:spacing w:after="60"/>
            </w:pPr>
            <w:r>
              <w:rPr>
                <w:b/>
                <w:color w:val="9A3412"/>
              </w:rPr>
              <w:t>Vision</w:t>
            </w:r>
          </w:p>
          <w:p>
            <w:pPr>
              <w:spacing w:after="0"/>
            </w:pPr>
            <w:r>
              <w:t>To be a reliable financial partner for growing businesses.</w:t>
            </w:r>
          </w:p>
        </w:tc>
      </w:tr>
    </w:tbl>
    <w:p>
      <w:pPr>
        <w:spacing w:after="4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5EBE7"/>
            <w:tcBorders>
              <w:left w:val="single" w:sz="36" w:space="0" w:color="9A3412"/>
            </w:tcBorders>
          </w:tcPr>
          <w:p>
            <w:pPr>
              <w:spacing w:after="60"/>
            </w:pPr>
            <w:r>
              <w:rPr>
                <w:b/>
                <w:color w:val="9A3412"/>
              </w:rPr>
              <w:t>Mission</w:t>
            </w:r>
          </w:p>
          <w:p>
            <w:pPr>
              <w:spacing w:after="0"/>
            </w:pPr>
            <w:r>
              <w:t>To provide accurate, ethical and timely professional services.</w:t>
            </w:r>
          </w:p>
        </w:tc>
      </w:tr>
    </w:tbl>
    <w:p>
      <w:pPr>
        <w:spacing w:after="40"/>
      </w:pPr>
    </w:p>
    <w:p>
      <w:pPr>
        <w:pStyle w:val="Heading2"/>
      </w:pPr>
      <w:r>
        <w:t>Products and Services</w:t>
      </w:r>
    </w:p>
    <w:p>
      <w:pPr>
        <w:pStyle w:val="ListBullet"/>
      </w:pPr>
      <w:r>
        <w:t>Statutory and internal audit</w:t>
      </w:r>
    </w:p>
    <w:p>
      <w:pPr>
        <w:pStyle w:val="ListBullet"/>
      </w:pPr>
      <w:r>
        <w:t>Income tax returns and planning</w:t>
      </w:r>
    </w:p>
    <w:p>
      <w:pPr>
        <w:pStyle w:val="ListBullet"/>
      </w:pPr>
      <w:r>
        <w:t>GST registration and returns</w:t>
      </w:r>
    </w:p>
    <w:p>
      <w:pPr>
        <w:pStyle w:val="ListBullet"/>
      </w:pPr>
      <w:r>
        <w:t>Accounting and bookkeeping</w:t>
      </w:r>
    </w:p>
    <w:p>
      <w:pPr>
        <w:pStyle w:val="ListBullet"/>
      </w:pPr>
      <w:r>
        <w:t>Business advisory</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11827"/>
          </w:tcPr>
          <w:p>
            <w:pPr>
              <w:spacing w:after="0"/>
            </w:pPr>
            <w:r/>
            <w:r>
              <w:rPr>
                <w:b/>
                <w:color w:val="FFFFFF"/>
                <w:sz w:val="20"/>
              </w:rPr>
              <w:t>Department</w:t>
            </w:r>
          </w:p>
        </w:tc>
        <w:tc>
          <w:tcPr>
            <w:tcW w:type="dxa" w:w="6447"/>
            <w:vAlign w:val="center"/>
            <w:shd w:val="clear" w:color="auto" w:fill="111827"/>
          </w:tcPr>
          <w:p>
            <w:pPr>
              <w:spacing w:after="0"/>
            </w:pPr>
            <w:r/>
            <w:r>
              <w:rPr>
                <w:b/>
                <w:color w:val="FFFFFF"/>
                <w:sz w:val="20"/>
              </w:rPr>
              <w:t>Main responsibilities</w:t>
            </w:r>
          </w:p>
        </w:tc>
      </w:tr>
      <w:tr>
        <w:tc>
          <w:tcPr>
            <w:tcW w:type="dxa" w:w="2579"/>
            <w:vAlign w:val="center"/>
          </w:tcPr>
          <w:p>
            <w:pPr>
              <w:spacing w:after="0"/>
            </w:pPr>
            <w:r/>
            <w:r>
              <w:rPr>
                <w:sz w:val="20"/>
              </w:rPr>
              <w:t>Audit</w:t>
            </w:r>
          </w:p>
        </w:tc>
        <w:tc>
          <w:tcPr>
            <w:tcW w:type="dxa" w:w="6447"/>
            <w:vAlign w:val="center"/>
          </w:tcPr>
          <w:p>
            <w:pPr>
              <w:spacing w:after="0"/>
            </w:pPr>
            <w:r/>
            <w:r>
              <w:rPr>
                <w:sz w:val="20"/>
              </w:rPr>
              <w:t>Statutory and internal audits</w:t>
            </w:r>
          </w:p>
        </w:tc>
      </w:tr>
      <w:tr>
        <w:tc>
          <w:tcPr>
            <w:tcW w:type="dxa" w:w="2579"/>
            <w:vAlign w:val="center"/>
            <w:shd w:val="clear" w:color="auto" w:fill="F5EBE7"/>
          </w:tcPr>
          <w:p>
            <w:pPr>
              <w:spacing w:after="0"/>
            </w:pPr>
            <w:r/>
            <w:r>
              <w:rPr>
                <w:sz w:val="20"/>
              </w:rPr>
              <w:t>Taxation</w:t>
            </w:r>
          </w:p>
        </w:tc>
        <w:tc>
          <w:tcPr>
            <w:tcW w:type="dxa" w:w="6447"/>
            <w:vAlign w:val="center"/>
            <w:shd w:val="clear" w:color="auto" w:fill="F5EBE7"/>
          </w:tcPr>
          <w:p>
            <w:pPr>
              <w:spacing w:after="0"/>
            </w:pPr>
            <w:r/>
            <w:r>
              <w:rPr>
                <w:sz w:val="20"/>
              </w:rPr>
              <w:t>Income tax and GST compliance</w:t>
            </w:r>
          </w:p>
        </w:tc>
      </w:tr>
      <w:tr>
        <w:tc>
          <w:tcPr>
            <w:tcW w:type="dxa" w:w="2579"/>
            <w:vAlign w:val="center"/>
          </w:tcPr>
          <w:p>
            <w:pPr>
              <w:spacing w:after="0"/>
            </w:pPr>
            <w:r/>
            <w:r>
              <w:rPr>
                <w:sz w:val="20"/>
              </w:rPr>
              <w:t>Accounts</w:t>
            </w:r>
          </w:p>
        </w:tc>
        <w:tc>
          <w:tcPr>
            <w:tcW w:type="dxa" w:w="6447"/>
            <w:vAlign w:val="center"/>
          </w:tcPr>
          <w:p>
            <w:pPr>
              <w:spacing w:after="0"/>
            </w:pPr>
            <w:r/>
            <w:r>
              <w:rPr>
                <w:sz w:val="20"/>
              </w:rPr>
              <w:t>Bookkeeping and payroll</w:t>
            </w:r>
          </w:p>
        </w:tc>
      </w:tr>
      <w:tr>
        <w:tc>
          <w:tcPr>
            <w:tcW w:type="dxa" w:w="2579"/>
            <w:vAlign w:val="center"/>
            <w:shd w:val="clear" w:color="auto" w:fill="F5EBE7"/>
          </w:tcPr>
          <w:p>
            <w:pPr>
              <w:spacing w:after="0"/>
            </w:pPr>
            <w:r/>
            <w:r>
              <w:rPr>
                <w:sz w:val="20"/>
              </w:rPr>
              <w:t>Advisory</w:t>
            </w:r>
          </w:p>
        </w:tc>
        <w:tc>
          <w:tcPr>
            <w:tcW w:type="dxa" w:w="6447"/>
            <w:vAlign w:val="center"/>
            <w:shd w:val="clear" w:color="auto" w:fill="F5EBE7"/>
          </w:tcPr>
          <w:p>
            <w:pPr>
              <w:spacing w:after="0"/>
            </w:pPr>
            <w:r/>
            <w:r>
              <w:rPr>
                <w:sz w:val="20"/>
              </w:rPr>
              <w:t>Business and financial advice</w:t>
            </w:r>
          </w:p>
        </w:tc>
      </w:tr>
    </w:tbl>
    <w:p>
      <w:pPr>
        <w:spacing w:after="80"/>
      </w:pPr>
    </w:p>
    <w:p>
      <w:pPr>
        <w:pStyle w:val="Heading1"/>
      </w:pPr>
      <w:r>
        <w:t>02  Internship Overview</w:t>
      </w:r>
    </w:p>
    <w:p>
      <w:pPr>
        <w:pStyle w:val="Heading2"/>
      </w:pPr>
      <w:r>
        <w:t>Objectives of the Internship</w:t>
      </w:r>
    </w:p>
    <w:p>
      <w:pPr>
        <w:pStyle w:val="ListNumber"/>
      </w:pPr>
      <w:r>
        <w:t>Apply accounting concepts to real records.</w:t>
      </w:r>
    </w:p>
    <w:p>
      <w:pPr>
        <w:pStyle w:val="ListNumber"/>
      </w:pPr>
      <w:r>
        <w:t>Understand audit procedures and documentation.</w:t>
      </w:r>
    </w:p>
    <w:p>
      <w:pPr>
        <w:pStyle w:val="ListNumber"/>
      </w:pPr>
      <w:r>
        <w:t>Learn the GST and income tax compliance cycle.</w:t>
      </w:r>
    </w:p>
    <w:p>
      <w:pPr>
        <w:pStyle w:val="Heading2"/>
      </w:pPr>
      <w:r>
        <w:t>Role and Responsibilities</w:t>
      </w:r>
    </w:p>
    <w:p>
      <w:pPr>
        <w:pStyle w:val="ListBullet"/>
      </w:pPr>
      <w:r>
        <w:t>Entering vouchers in accounting software</w:t>
      </w:r>
    </w:p>
    <w:p>
      <w:pPr>
        <w:pStyle w:val="ListBullet"/>
      </w:pPr>
      <w:r>
        <w:t>Bank reconciliation</w:t>
      </w:r>
    </w:p>
    <w:p>
      <w:pPr>
        <w:pStyle w:val="ListBullet"/>
      </w:pPr>
      <w:r>
        <w:t>Vouching and ticking during audits</w:t>
      </w:r>
    </w:p>
    <w:p>
      <w:pPr>
        <w:pStyle w:val="ListBullet"/>
      </w:pPr>
      <w:r>
        <w:t>Preparing GST data sheets</w:t>
      </w:r>
    </w:p>
    <w:p>
      <w:pPr>
        <w:pStyle w:val="Heading2"/>
      </w:pPr>
      <w:r>
        <w:t>Tools and Technologies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11827"/>
          </w:tcPr>
          <w:p>
            <w:pPr>
              <w:spacing w:after="0"/>
            </w:pPr>
            <w:r/>
            <w:r>
              <w:rPr>
                <w:b/>
                <w:color w:val="FFFFFF"/>
                <w:sz w:val="20"/>
              </w:rPr>
              <w:t>Tool / technology</w:t>
            </w:r>
          </w:p>
        </w:tc>
        <w:tc>
          <w:tcPr>
            <w:tcW w:type="dxa" w:w="6447"/>
            <w:vAlign w:val="center"/>
            <w:shd w:val="clear" w:color="auto" w:fill="111827"/>
          </w:tcPr>
          <w:p>
            <w:pPr>
              <w:spacing w:after="0"/>
            </w:pPr>
            <w:r/>
            <w:r>
              <w:rPr>
                <w:b/>
                <w:color w:val="FFFFFF"/>
                <w:sz w:val="20"/>
              </w:rPr>
              <w:t>How it was used</w:t>
            </w:r>
          </w:p>
        </w:tc>
      </w:tr>
      <w:tr>
        <w:tc>
          <w:tcPr>
            <w:tcW w:type="dxa" w:w="2579"/>
            <w:vAlign w:val="center"/>
          </w:tcPr>
          <w:p>
            <w:pPr>
              <w:spacing w:after="0"/>
            </w:pPr>
            <w:r/>
            <w:r>
              <w:rPr>
                <w:sz w:val="20"/>
              </w:rPr>
              <w:t>Accounting software</w:t>
            </w:r>
          </w:p>
        </w:tc>
        <w:tc>
          <w:tcPr>
            <w:tcW w:type="dxa" w:w="6447"/>
            <w:vAlign w:val="center"/>
          </w:tcPr>
          <w:p>
            <w:pPr>
              <w:spacing w:after="0"/>
            </w:pPr>
            <w:r/>
            <w:r>
              <w:rPr>
                <w:sz w:val="20"/>
              </w:rPr>
              <w:t>Recording vouchers and ledgers</w:t>
            </w:r>
          </w:p>
        </w:tc>
      </w:tr>
      <w:tr>
        <w:tc>
          <w:tcPr>
            <w:tcW w:type="dxa" w:w="2579"/>
            <w:vAlign w:val="center"/>
            <w:shd w:val="clear" w:color="auto" w:fill="F5EBE7"/>
          </w:tcPr>
          <w:p>
            <w:pPr>
              <w:spacing w:after="0"/>
            </w:pPr>
            <w:r/>
            <w:r>
              <w:rPr>
                <w:sz w:val="20"/>
              </w:rPr>
              <w:t>Excel</w:t>
            </w:r>
          </w:p>
        </w:tc>
        <w:tc>
          <w:tcPr>
            <w:tcW w:type="dxa" w:w="6447"/>
            <w:vAlign w:val="center"/>
            <w:shd w:val="clear" w:color="auto" w:fill="F5EBE7"/>
          </w:tcPr>
          <w:p>
            <w:pPr>
              <w:spacing w:after="0"/>
            </w:pPr>
            <w:r/>
            <w:r>
              <w:rPr>
                <w:sz w:val="20"/>
              </w:rPr>
              <w:t>Reconciliations and summaries</w:t>
            </w:r>
          </w:p>
        </w:tc>
      </w:tr>
      <w:tr>
        <w:tc>
          <w:tcPr>
            <w:tcW w:type="dxa" w:w="2579"/>
            <w:vAlign w:val="center"/>
          </w:tcPr>
          <w:p>
            <w:pPr>
              <w:spacing w:after="0"/>
            </w:pPr>
            <w:r/>
            <w:r>
              <w:rPr>
                <w:sz w:val="20"/>
              </w:rPr>
              <w:t>GST portal (demo)</w:t>
            </w:r>
          </w:p>
        </w:tc>
        <w:tc>
          <w:tcPr>
            <w:tcW w:type="dxa" w:w="6447"/>
            <w:vAlign w:val="center"/>
          </w:tcPr>
          <w:p>
            <w:pPr>
              <w:spacing w:after="0"/>
            </w:pPr>
            <w:r/>
            <w:r>
              <w:rPr>
                <w:sz w:val="20"/>
              </w:rPr>
              <w:t>Understanding return filing flow</w:t>
            </w:r>
          </w:p>
        </w:tc>
      </w:tr>
      <w:tr>
        <w:tc>
          <w:tcPr>
            <w:tcW w:type="dxa" w:w="2579"/>
            <w:vAlign w:val="center"/>
            <w:shd w:val="clear" w:color="auto" w:fill="F5EBE7"/>
          </w:tcPr>
          <w:p>
            <w:pPr>
              <w:spacing w:after="0"/>
            </w:pPr>
            <w:r/>
            <w:r>
              <w:rPr>
                <w:sz w:val="20"/>
              </w:rPr>
              <w:t>Working papers</w:t>
            </w:r>
          </w:p>
        </w:tc>
        <w:tc>
          <w:tcPr>
            <w:tcW w:type="dxa" w:w="6447"/>
            <w:vAlign w:val="center"/>
            <w:shd w:val="clear" w:color="auto" w:fill="F5EBE7"/>
          </w:tcPr>
          <w:p>
            <w:pPr>
              <w:spacing w:after="0"/>
            </w:pPr>
            <w:r/>
            <w:r>
              <w:rPr>
                <w:sz w:val="20"/>
              </w:rPr>
              <w:t>Documenting audit checks</w:t>
            </w:r>
          </w:p>
        </w:tc>
      </w:tr>
    </w:tbl>
    <w:p>
      <w:pPr>
        <w:spacing w:after="80"/>
      </w:pPr>
    </w:p>
    <w:p>
      <w:pPr>
        <w:pStyle w:val="Heading1"/>
      </w:pPr>
      <w:r>
        <w:t>03  Weekly Work Log</w:t>
      </w:r>
    </w:p>
    <w:p>
      <w:r>
        <w:t>The table below summarises the work done in each week. Detailed notes for each week follow.</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698"/>
        <w:gridCol w:w="1630"/>
        <w:gridCol w:w="3785"/>
        <w:gridCol w:w="2911"/>
      </w:tblGrid>
      <w:tr>
        <w:trPr>
          <w:tblHeader/>
        </w:trPr>
        <w:tc>
          <w:tcPr>
            <w:tcW w:type="dxa" w:w="699"/>
            <w:vAlign w:val="center"/>
            <w:shd w:val="clear" w:color="auto" w:fill="111827"/>
          </w:tcPr>
          <w:p>
            <w:pPr>
              <w:spacing w:after="0"/>
              <w:jc w:val="center"/>
            </w:pPr>
            <w:r/>
            <w:r>
              <w:rPr>
                <w:b/>
                <w:color w:val="FFFFFF"/>
                <w:sz w:val="20"/>
              </w:rPr>
              <w:t>Week</w:t>
            </w:r>
          </w:p>
        </w:tc>
        <w:tc>
          <w:tcPr>
            <w:tcW w:type="dxa" w:w="1630"/>
            <w:vAlign w:val="center"/>
            <w:shd w:val="clear" w:color="auto" w:fill="111827"/>
          </w:tcPr>
          <w:p>
            <w:pPr>
              <w:spacing w:after="0"/>
              <w:jc w:val="left"/>
            </w:pPr>
            <w:r/>
            <w:r>
              <w:rPr>
                <w:b/>
                <w:color w:val="FFFFFF"/>
                <w:sz w:val="20"/>
              </w:rPr>
              <w:t>Dates</w:t>
            </w:r>
          </w:p>
        </w:tc>
        <w:tc>
          <w:tcPr>
            <w:tcW w:type="dxa" w:w="3785"/>
            <w:vAlign w:val="center"/>
            <w:shd w:val="clear" w:color="auto" w:fill="111827"/>
          </w:tcPr>
          <w:p>
            <w:pPr>
              <w:spacing w:after="0"/>
              <w:jc w:val="left"/>
            </w:pPr>
            <w:r/>
            <w:r>
              <w:rPr>
                <w:b/>
                <w:color w:val="FFFFFF"/>
                <w:sz w:val="20"/>
              </w:rPr>
              <w:t>Tasks performed</w:t>
            </w:r>
          </w:p>
        </w:tc>
        <w:tc>
          <w:tcPr>
            <w:tcW w:type="dxa" w:w="2911"/>
            <w:vAlign w:val="center"/>
            <w:shd w:val="clear" w:color="auto" w:fill="111827"/>
          </w:tcPr>
          <w:p>
            <w:pPr>
              <w:spacing w:after="0"/>
              <w:jc w:val="left"/>
            </w:pPr>
            <w:r/>
            <w:r>
              <w:rPr>
                <w:b/>
                <w:color w:val="FFFFFF"/>
                <w:sz w:val="20"/>
              </w:rPr>
              <w:t>Key learning</w:t>
            </w:r>
          </w:p>
        </w:tc>
      </w:tr>
      <w:tr>
        <w:tc>
          <w:tcPr>
            <w:tcW w:type="dxa" w:w="699"/>
            <w:vAlign w:val="center"/>
          </w:tcPr>
          <w:p>
            <w:pPr>
              <w:spacing w:after="0"/>
              <w:jc w:val="center"/>
            </w:pPr>
            <w:r/>
            <w:r>
              <w:rPr>
                <w:sz w:val="20"/>
              </w:rPr>
              <w:t>1</w:t>
            </w:r>
          </w:p>
        </w:tc>
        <w:tc>
          <w:tcPr>
            <w:tcW w:type="dxa" w:w="1630"/>
            <w:vAlign w:val="center"/>
          </w:tcPr>
          <w:p>
            <w:pPr>
              <w:spacing w:after="0"/>
              <w:jc w:val="left"/>
            </w:pPr>
            <w:r/>
            <w:r>
              <w:rPr>
                <w:sz w:val="20"/>
              </w:rPr>
              <w:t>12–16 May</w:t>
            </w:r>
          </w:p>
        </w:tc>
        <w:tc>
          <w:tcPr>
            <w:tcW w:type="dxa" w:w="3785"/>
            <w:vAlign w:val="center"/>
          </w:tcPr>
          <w:p>
            <w:pPr>
              <w:spacing w:after="0"/>
              <w:jc w:val="left"/>
            </w:pPr>
            <w:r/>
            <w:r>
              <w:rPr>
                <w:sz w:val="20"/>
              </w:rPr>
              <w:t>Firm orientation and confidentiality rules</w:t>
            </w:r>
          </w:p>
        </w:tc>
        <w:tc>
          <w:tcPr>
            <w:tcW w:type="dxa" w:w="2911"/>
            <w:vAlign w:val="center"/>
          </w:tcPr>
          <w:p>
            <w:pPr>
              <w:spacing w:after="0"/>
              <w:jc w:val="left"/>
            </w:pPr>
            <w:r/>
            <w:r>
              <w:rPr>
                <w:sz w:val="20"/>
              </w:rPr>
              <w:t>Professional ethics</w:t>
            </w:r>
          </w:p>
        </w:tc>
      </w:tr>
      <w:tr>
        <w:tc>
          <w:tcPr>
            <w:tcW w:type="dxa" w:w="699"/>
            <w:vAlign w:val="center"/>
            <w:shd w:val="clear" w:color="auto" w:fill="F5EBE7"/>
          </w:tcPr>
          <w:p>
            <w:pPr>
              <w:spacing w:after="0"/>
              <w:jc w:val="center"/>
            </w:pPr>
            <w:r/>
            <w:r>
              <w:rPr>
                <w:sz w:val="20"/>
              </w:rPr>
              <w:t>2</w:t>
            </w:r>
          </w:p>
        </w:tc>
        <w:tc>
          <w:tcPr>
            <w:tcW w:type="dxa" w:w="1630"/>
            <w:vAlign w:val="center"/>
            <w:shd w:val="clear" w:color="auto" w:fill="F5EBE7"/>
          </w:tcPr>
          <w:p>
            <w:pPr>
              <w:spacing w:after="0"/>
              <w:jc w:val="left"/>
            </w:pPr>
            <w:r/>
            <w:r>
              <w:rPr>
                <w:sz w:val="20"/>
              </w:rPr>
              <w:t>19–23 May</w:t>
            </w:r>
          </w:p>
        </w:tc>
        <w:tc>
          <w:tcPr>
            <w:tcW w:type="dxa" w:w="3785"/>
            <w:vAlign w:val="center"/>
            <w:shd w:val="clear" w:color="auto" w:fill="F5EBE7"/>
          </w:tcPr>
          <w:p>
            <w:pPr>
              <w:spacing w:after="0"/>
              <w:jc w:val="left"/>
            </w:pPr>
            <w:r/>
            <w:r>
              <w:rPr>
                <w:sz w:val="20"/>
              </w:rPr>
              <w:t>Voucher entry and ledger scrutiny</w:t>
            </w:r>
          </w:p>
        </w:tc>
        <w:tc>
          <w:tcPr>
            <w:tcW w:type="dxa" w:w="2911"/>
            <w:vAlign w:val="center"/>
            <w:shd w:val="clear" w:color="auto" w:fill="F5EBE7"/>
          </w:tcPr>
          <w:p>
            <w:pPr>
              <w:spacing w:after="0"/>
              <w:jc w:val="left"/>
            </w:pPr>
            <w:r/>
            <w:r>
              <w:rPr>
                <w:sz w:val="20"/>
              </w:rPr>
              <w:t>Double-entry in practice</w:t>
            </w:r>
          </w:p>
        </w:tc>
      </w:tr>
      <w:tr>
        <w:tc>
          <w:tcPr>
            <w:tcW w:type="dxa" w:w="699"/>
            <w:vAlign w:val="center"/>
          </w:tcPr>
          <w:p>
            <w:pPr>
              <w:spacing w:after="0"/>
              <w:jc w:val="center"/>
            </w:pPr>
            <w:r/>
            <w:r>
              <w:rPr>
                <w:sz w:val="20"/>
              </w:rPr>
              <w:t>3</w:t>
            </w:r>
          </w:p>
        </w:tc>
        <w:tc>
          <w:tcPr>
            <w:tcW w:type="dxa" w:w="1630"/>
            <w:vAlign w:val="center"/>
          </w:tcPr>
          <w:p>
            <w:pPr>
              <w:spacing w:after="0"/>
              <w:jc w:val="left"/>
            </w:pPr>
            <w:r/>
            <w:r>
              <w:rPr>
                <w:sz w:val="20"/>
              </w:rPr>
              <w:t>26–30 May</w:t>
            </w:r>
          </w:p>
        </w:tc>
        <w:tc>
          <w:tcPr>
            <w:tcW w:type="dxa" w:w="3785"/>
            <w:vAlign w:val="center"/>
          </w:tcPr>
          <w:p>
            <w:pPr>
              <w:spacing w:after="0"/>
              <w:jc w:val="left"/>
            </w:pPr>
            <w:r/>
            <w:r>
              <w:rPr>
                <w:sz w:val="20"/>
              </w:rPr>
              <w:t>Bank reconciliation for two clients</w:t>
            </w:r>
          </w:p>
        </w:tc>
        <w:tc>
          <w:tcPr>
            <w:tcW w:type="dxa" w:w="2911"/>
            <w:vAlign w:val="center"/>
          </w:tcPr>
          <w:p>
            <w:pPr>
              <w:spacing w:after="0"/>
              <w:jc w:val="left"/>
            </w:pPr>
            <w:r/>
            <w:r>
              <w:rPr>
                <w:sz w:val="20"/>
              </w:rPr>
              <w:t>Finding and explaining differences</w:t>
            </w:r>
          </w:p>
        </w:tc>
      </w:tr>
      <w:tr>
        <w:tc>
          <w:tcPr>
            <w:tcW w:type="dxa" w:w="699"/>
            <w:vAlign w:val="center"/>
            <w:shd w:val="clear" w:color="auto" w:fill="F5EBE7"/>
          </w:tcPr>
          <w:p>
            <w:pPr>
              <w:spacing w:after="0"/>
              <w:jc w:val="center"/>
            </w:pPr>
            <w:r/>
            <w:r>
              <w:rPr>
                <w:sz w:val="20"/>
              </w:rPr>
              <w:t>4</w:t>
            </w:r>
          </w:p>
        </w:tc>
        <w:tc>
          <w:tcPr>
            <w:tcW w:type="dxa" w:w="1630"/>
            <w:vAlign w:val="center"/>
            <w:shd w:val="clear" w:color="auto" w:fill="F5EBE7"/>
          </w:tcPr>
          <w:p>
            <w:pPr>
              <w:spacing w:after="0"/>
              <w:jc w:val="left"/>
            </w:pPr>
            <w:r/>
            <w:r>
              <w:rPr>
                <w:sz w:val="20"/>
              </w:rPr>
              <w:t>2–6 Jun</w:t>
            </w:r>
          </w:p>
        </w:tc>
        <w:tc>
          <w:tcPr>
            <w:tcW w:type="dxa" w:w="3785"/>
            <w:vAlign w:val="center"/>
            <w:shd w:val="clear" w:color="auto" w:fill="F5EBE7"/>
          </w:tcPr>
          <w:p>
            <w:pPr>
              <w:spacing w:after="0"/>
              <w:jc w:val="left"/>
            </w:pPr>
            <w:r/>
            <w:r>
              <w:rPr>
                <w:sz w:val="20"/>
              </w:rPr>
              <w:t>GST sales and purchase registers</w:t>
            </w:r>
          </w:p>
        </w:tc>
        <w:tc>
          <w:tcPr>
            <w:tcW w:type="dxa" w:w="2911"/>
            <w:vAlign w:val="center"/>
            <w:shd w:val="clear" w:color="auto" w:fill="F5EBE7"/>
          </w:tcPr>
          <w:p>
            <w:pPr>
              <w:spacing w:after="0"/>
              <w:jc w:val="left"/>
            </w:pPr>
            <w:r/>
            <w:r>
              <w:rPr>
                <w:sz w:val="20"/>
              </w:rPr>
              <w:t>Input tax credit matching</w:t>
            </w:r>
          </w:p>
        </w:tc>
      </w:tr>
      <w:tr>
        <w:tc>
          <w:tcPr>
            <w:tcW w:type="dxa" w:w="699"/>
            <w:vAlign w:val="center"/>
          </w:tcPr>
          <w:p>
            <w:pPr>
              <w:spacing w:after="0"/>
              <w:jc w:val="center"/>
            </w:pPr>
            <w:r/>
            <w:r>
              <w:rPr>
                <w:sz w:val="20"/>
              </w:rPr>
              <w:t>5</w:t>
            </w:r>
          </w:p>
        </w:tc>
        <w:tc>
          <w:tcPr>
            <w:tcW w:type="dxa" w:w="1630"/>
            <w:vAlign w:val="center"/>
          </w:tcPr>
          <w:p>
            <w:pPr>
              <w:spacing w:after="0"/>
              <w:jc w:val="left"/>
            </w:pPr>
            <w:r/>
            <w:r>
              <w:rPr>
                <w:sz w:val="20"/>
              </w:rPr>
              <w:t>9–13 Jun</w:t>
            </w:r>
          </w:p>
        </w:tc>
        <w:tc>
          <w:tcPr>
            <w:tcW w:type="dxa" w:w="3785"/>
            <w:vAlign w:val="center"/>
          </w:tcPr>
          <w:p>
            <w:pPr>
              <w:spacing w:after="0"/>
              <w:jc w:val="left"/>
            </w:pPr>
            <w:r/>
            <w:r>
              <w:rPr>
                <w:sz w:val="20"/>
              </w:rPr>
              <w:t>Audit vouching at a client office</w:t>
            </w:r>
          </w:p>
        </w:tc>
        <w:tc>
          <w:tcPr>
            <w:tcW w:type="dxa" w:w="2911"/>
            <w:vAlign w:val="center"/>
          </w:tcPr>
          <w:p>
            <w:pPr>
              <w:spacing w:after="0"/>
              <w:jc w:val="left"/>
            </w:pPr>
            <w:r/>
            <w:r>
              <w:rPr>
                <w:sz w:val="20"/>
              </w:rPr>
              <w:t>Evidence and sampling</w:t>
            </w:r>
          </w:p>
        </w:tc>
      </w:tr>
      <w:tr>
        <w:tc>
          <w:tcPr>
            <w:tcW w:type="dxa" w:w="699"/>
            <w:vAlign w:val="center"/>
            <w:shd w:val="clear" w:color="auto" w:fill="F5EBE7"/>
          </w:tcPr>
          <w:p>
            <w:pPr>
              <w:spacing w:after="0"/>
              <w:jc w:val="center"/>
            </w:pPr>
            <w:r/>
            <w:r>
              <w:rPr>
                <w:sz w:val="20"/>
              </w:rPr>
              <w:t>6</w:t>
            </w:r>
          </w:p>
        </w:tc>
        <w:tc>
          <w:tcPr>
            <w:tcW w:type="dxa" w:w="1630"/>
            <w:vAlign w:val="center"/>
            <w:shd w:val="clear" w:color="auto" w:fill="F5EBE7"/>
          </w:tcPr>
          <w:p>
            <w:pPr>
              <w:spacing w:after="0"/>
              <w:jc w:val="left"/>
            </w:pPr>
            <w:r/>
            <w:r>
              <w:rPr>
                <w:sz w:val="20"/>
              </w:rPr>
              <w:t>16–20 Jun</w:t>
            </w:r>
          </w:p>
        </w:tc>
        <w:tc>
          <w:tcPr>
            <w:tcW w:type="dxa" w:w="3785"/>
            <w:vAlign w:val="center"/>
            <w:shd w:val="clear" w:color="auto" w:fill="F5EBE7"/>
          </w:tcPr>
          <w:p>
            <w:pPr>
              <w:spacing w:after="0"/>
              <w:jc w:val="left"/>
            </w:pPr>
            <w:r/>
            <w:r>
              <w:rPr>
                <w:sz w:val="20"/>
              </w:rPr>
              <w:t>Income tax computation drafts</w:t>
            </w:r>
          </w:p>
        </w:tc>
        <w:tc>
          <w:tcPr>
            <w:tcW w:type="dxa" w:w="2911"/>
            <w:vAlign w:val="center"/>
            <w:shd w:val="clear" w:color="auto" w:fill="F5EBE7"/>
          </w:tcPr>
          <w:p>
            <w:pPr>
              <w:spacing w:after="0"/>
              <w:jc w:val="left"/>
            </w:pPr>
            <w:r/>
            <w:r>
              <w:rPr>
                <w:sz w:val="20"/>
              </w:rPr>
              <w:t>Heads of income and deductions</w:t>
            </w:r>
          </w:p>
        </w:tc>
      </w:tr>
    </w:tbl>
    <w:p>
      <w:pPr>
        <w:spacing w:after="80"/>
      </w:pPr>
    </w:p>
    <w:p>
      <w:pPr>
        <w:pStyle w:val="Heading2"/>
      </w:pPr>
      <w:r>
        <w:t>Week 1: Firm orientation and confidentiality rules</w:t>
      </w:r>
    </w:p>
    <w:p>
      <w:pPr>
        <w:jc w:val="both"/>
      </w:pPr>
      <w:r>
        <w:t>Work done: Firm orientation and confidentiality rules. I kept a daily diary of tasks and questions and reviewed it with my mentor at the end of the week.</w:t>
      </w:r>
    </w:p>
    <w:p>
      <w:r>
        <w:rPr>
          <w:i/>
          <w:color w:val="6B7079"/>
        </w:rPr>
        <w:t>Learning: Professional ethics.</w:t>
      </w:r>
    </w:p>
    <w:p>
      <w:pPr>
        <w:pStyle w:val="Heading2"/>
      </w:pPr>
      <w:r>
        <w:t>Week 2: Voucher entry and ledger scrutiny</w:t>
      </w:r>
    </w:p>
    <w:p>
      <w:pPr>
        <w:jc w:val="both"/>
      </w:pPr>
      <w:r>
        <w:t>Work done: Voucher entry and ledger scrutiny. Most of the week was spent shadowing team members and then repeating the tasks independently.</w:t>
      </w:r>
    </w:p>
    <w:p>
      <w:r>
        <w:rPr>
          <w:i/>
          <w:color w:val="6B7079"/>
        </w:rPr>
        <w:t>Learning: Double-entry in practice.</w:t>
      </w:r>
    </w:p>
    <w:p>
      <w:pPr>
        <w:pStyle w:val="Heading2"/>
      </w:pPr>
      <w:r>
        <w:t>Week 3: Bank reconciliation for two clients</w:t>
      </w:r>
    </w:p>
    <w:p>
      <w:pPr>
        <w:jc w:val="both"/>
      </w:pPr>
      <w:r>
        <w:t>Work done: Bank reconciliation for two clients. At the weekly review my mentor suggested improvements, which I applied the following week.</w:t>
      </w:r>
    </w:p>
    <w:p>
      <w:r>
        <w:rPr>
          <w:i/>
          <w:color w:val="6B7079"/>
        </w:rPr>
        <w:t>Learning: Finding and explaining differences.</w:t>
      </w:r>
    </w:p>
    <w:p>
      <w:pPr>
        <w:pStyle w:val="Heading2"/>
      </w:pPr>
      <w:r>
        <w:t>Week 4: GST sales and purchase registers</w:t>
      </w:r>
    </w:p>
    <w:p>
      <w:pPr>
        <w:jc w:val="both"/>
      </w:pPr>
      <w:r>
        <w:t>Work done: GST sales and purchase registers. I documented the steps I followed so that the next intern could repeat them easily.</w:t>
      </w:r>
    </w:p>
    <w:p>
      <w:r>
        <w:rPr>
          <w:i/>
          <w:color w:val="6B7079"/>
        </w:rPr>
        <w:t>Learning: Input tax credit matching.</w:t>
      </w:r>
    </w:p>
    <w:p>
      <w:pPr>
        <w:pStyle w:val="Heading2"/>
      </w:pPr>
      <w:r>
        <w:t>Week 5: Audit vouching at a client office</w:t>
      </w:r>
    </w:p>
    <w:p>
      <w:pPr>
        <w:jc w:val="both"/>
      </w:pPr>
      <w:r>
        <w:t>Work done: Audit vouching at a client office. I kept a daily diary of tasks and questions and reviewed it with my mentor at the end of the week.</w:t>
      </w:r>
    </w:p>
    <w:p>
      <w:r>
        <w:rPr>
          <w:i/>
          <w:color w:val="6B7079"/>
        </w:rPr>
        <w:t>Learning: Evidence and sampling.</w:t>
      </w:r>
    </w:p>
    <w:p>
      <w:pPr>
        <w:pStyle w:val="Heading2"/>
      </w:pPr>
      <w:r>
        <w:t>Week 6: Income tax computation drafts</w:t>
      </w:r>
    </w:p>
    <w:p>
      <w:pPr>
        <w:jc w:val="both"/>
      </w:pPr>
      <w:r>
        <w:t>Work done: Income tax computation drafts. Most of the week was spent shadowing team members and then repeating the tasks independently.</w:t>
      </w:r>
    </w:p>
    <w:p>
      <w:r>
        <w:rPr>
          <w:i/>
          <w:color w:val="6B7079"/>
        </w:rPr>
        <w:t>Learning: Heads of income and deductions.</w:t>
      </w:r>
    </w:p>
    <w:p>
      <w:pPr>
        <w:pStyle w:val="Heading1"/>
      </w:pPr>
      <w:r>
        <w:t>04  Projects Undertaken</w:t>
      </w:r>
    </w:p>
    <w:p>
      <w:pPr>
        <w:pStyle w:val="Heading2"/>
      </w:pPr>
      <w:r>
        <w:t>Project 1: Bank reconciliation for a trading client</w:t>
      </w:r>
    </w:p>
    <w:p>
      <w:r>
        <w:rPr>
          <w:b/>
          <w:color w:val="9A3412"/>
        </w:rPr>
        <w:t xml:space="preserve">Problem: </w:t>
      </w:r>
      <w:r>
        <w:t>Bank and book balances did not match.</w:t>
      </w:r>
    </w:p>
    <w:p>
      <w:r>
        <w:rPr>
          <w:b/>
          <w:color w:val="9A3412"/>
        </w:rPr>
        <w:t xml:space="preserve">Approach: </w:t>
      </w:r>
      <w:r>
        <w:t>Matched entries line by line and listed unpresented cheques and bank charges.</w:t>
      </w:r>
    </w:p>
    <w:p>
      <w:r>
        <w:rPr>
          <w:b/>
          <w:color w:val="9A3412"/>
        </w:rPr>
        <w:t xml:space="preserve">Outcome: </w:t>
      </w:r>
      <w:r>
        <w:t>Differences fully explained and entries corrected.</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026"/>
      </w:tblGrid>
      <w:tr>
        <w:trPr>
          <w:trHeight w:val="2835" w:hRule="exact"/>
        </w:trPr>
        <w:tc>
          <w:tcPr>
            <w:tcW w:type="dxa" w:w="9026"/>
            <w:shd w:val="clear" w:color="auto" w:fill="F5EBE7"/>
            <w:vAlign w:val="center"/>
          </w:tcPr>
          <w:p>
            <w:pPr>
              <w:jc w:val="center"/>
            </w:pPr>
            <w:r>
              <w:rPr>
                <w:color w:val="6B7079"/>
                <w:sz w:val="20"/>
              </w:rPr>
              <w:t>Figure placeholder — screenshot, drawing or photo of your work</w:t>
            </w:r>
          </w:p>
        </w:tc>
      </w:tr>
    </w:tbl>
    <w:p>
      <w:pPr>
        <w:pStyle w:val="Caption"/>
        <w:spacing w:before="80"/>
        <w:jc w:val="center"/>
      </w:pPr>
      <w:r>
        <w:t>Figure 1: Bank reconciliation for a trading client</w:t>
      </w:r>
    </w:p>
    <w:p>
      <w:pPr>
        <w:pStyle w:val="Heading2"/>
      </w:pPr>
      <w:r>
        <w:t>Project 2: GST data preparation</w:t>
      </w:r>
    </w:p>
    <w:p>
      <w:r>
        <w:rPr>
          <w:b/>
          <w:color w:val="9A3412"/>
        </w:rPr>
        <w:t xml:space="preserve">Problem: </w:t>
      </w:r>
      <w:r>
        <w:t>Monthly return data was compiled manually.</w:t>
      </w:r>
    </w:p>
    <w:p>
      <w:r>
        <w:rPr>
          <w:b/>
          <w:color w:val="9A3412"/>
        </w:rPr>
        <w:t xml:space="preserve">Approach: </w:t>
      </w:r>
      <w:r>
        <w:t>Built an Excel template to summarise sales and purchase registers.</w:t>
      </w:r>
    </w:p>
    <w:p>
      <w:r>
        <w:rPr>
          <w:b/>
          <w:color w:val="9A3412"/>
        </w:rPr>
        <w:t xml:space="preserve">Outcome: </w:t>
      </w:r>
      <w:r>
        <w:t>Saved time for the next month’s filing.</w:t>
      </w:r>
    </w:p>
    <w:tbl>
      <w:tblPr>
        <w:tblLayout w:type="fixed"/>
        <w:tblLook w:firstColumn="1" w:firstRow="1" w:lastColumn="0" w:lastRow="0" w:noHBand="0" w:noVBand="1" w:val="04A0"/>
        <w:tblW w:w="9026"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026"/>
      </w:tblGrid>
      <w:tr>
        <w:trPr>
          <w:trHeight w:val="2835" w:hRule="exact"/>
        </w:trPr>
        <w:tc>
          <w:tcPr>
            <w:tcW w:type="dxa" w:w="9026"/>
            <w:shd w:val="clear" w:color="auto" w:fill="F5EBE7"/>
            <w:vAlign w:val="center"/>
          </w:tcPr>
          <w:p>
            <w:pPr>
              <w:jc w:val="center"/>
            </w:pPr>
            <w:r>
              <w:rPr>
                <w:color w:val="6B7079"/>
                <w:sz w:val="20"/>
              </w:rPr>
              <w:t>Figure placeholder — screenshot, drawing or photo of your work</w:t>
            </w:r>
          </w:p>
        </w:tc>
      </w:tr>
    </w:tbl>
    <w:p>
      <w:pPr>
        <w:pStyle w:val="Caption"/>
        <w:spacing w:before="80"/>
        <w:jc w:val="center"/>
      </w:pPr>
      <w:r>
        <w:t>Figure 2: GST data preparation</w:t>
      </w:r>
    </w:p>
    <w:p>
      <w:pPr>
        <w:pStyle w:val="Heading1"/>
      </w:pPr>
      <w:r>
        <w:t>05  Skills and Learning Outcomes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11827"/>
          </w:tcPr>
          <w:p>
            <w:pPr>
              <w:spacing w:after="0"/>
            </w:pPr>
            <w:r/>
            <w:r>
              <w:rPr>
                <w:b/>
                <w:color w:val="FFFFFF"/>
                <w:sz w:val="20"/>
              </w:rPr>
              <w:t>Skill area</w:t>
            </w:r>
          </w:p>
        </w:tc>
        <w:tc>
          <w:tcPr>
            <w:tcW w:type="dxa" w:w="6447"/>
            <w:vAlign w:val="center"/>
            <w:shd w:val="clear" w:color="auto" w:fill="111827"/>
          </w:tcPr>
          <w:p>
            <w:pPr>
              <w:spacing w:after="0"/>
            </w:pPr>
            <w:r/>
            <w:r>
              <w:rPr>
                <w:b/>
                <w:color w:val="FFFFFF"/>
                <w:sz w:val="20"/>
              </w:rPr>
              <w:t>What I learned</w:t>
            </w:r>
          </w:p>
        </w:tc>
      </w:tr>
      <w:tr>
        <w:tc>
          <w:tcPr>
            <w:tcW w:type="dxa" w:w="2579"/>
            <w:vAlign w:val="center"/>
          </w:tcPr>
          <w:p>
            <w:pPr>
              <w:spacing w:after="0"/>
            </w:pPr>
            <w:r/>
            <w:r>
              <w:rPr>
                <w:sz w:val="20"/>
              </w:rPr>
              <w:t>Accounting</w:t>
            </w:r>
          </w:p>
        </w:tc>
        <w:tc>
          <w:tcPr>
            <w:tcW w:type="dxa" w:w="6447"/>
            <w:vAlign w:val="center"/>
          </w:tcPr>
          <w:p>
            <w:pPr>
              <w:spacing w:after="0"/>
            </w:pPr>
            <w:r/>
            <w:r>
              <w:rPr>
                <w:sz w:val="20"/>
              </w:rPr>
              <w:t>Vouching, ledgers, reconciliation</w:t>
            </w:r>
          </w:p>
        </w:tc>
      </w:tr>
      <w:tr>
        <w:tc>
          <w:tcPr>
            <w:tcW w:type="dxa" w:w="2579"/>
            <w:vAlign w:val="center"/>
            <w:shd w:val="clear" w:color="auto" w:fill="F5EBE7"/>
          </w:tcPr>
          <w:p>
            <w:pPr>
              <w:spacing w:after="0"/>
            </w:pPr>
            <w:r/>
            <w:r>
              <w:rPr>
                <w:sz w:val="20"/>
              </w:rPr>
              <w:t>Taxation</w:t>
            </w:r>
          </w:p>
        </w:tc>
        <w:tc>
          <w:tcPr>
            <w:tcW w:type="dxa" w:w="6447"/>
            <w:vAlign w:val="center"/>
            <w:shd w:val="clear" w:color="auto" w:fill="F5EBE7"/>
          </w:tcPr>
          <w:p>
            <w:pPr>
              <w:spacing w:after="0"/>
            </w:pPr>
            <w:r/>
            <w:r>
              <w:rPr>
                <w:sz w:val="20"/>
              </w:rPr>
              <w:t>GST registers, income heads</w:t>
            </w:r>
          </w:p>
        </w:tc>
      </w:tr>
      <w:tr>
        <w:tc>
          <w:tcPr>
            <w:tcW w:type="dxa" w:w="2579"/>
            <w:vAlign w:val="center"/>
          </w:tcPr>
          <w:p>
            <w:pPr>
              <w:spacing w:after="0"/>
            </w:pPr>
            <w:r/>
            <w:r>
              <w:rPr>
                <w:sz w:val="20"/>
              </w:rPr>
              <w:t>Professional</w:t>
            </w:r>
          </w:p>
        </w:tc>
        <w:tc>
          <w:tcPr>
            <w:tcW w:type="dxa" w:w="6447"/>
            <w:vAlign w:val="center"/>
          </w:tcPr>
          <w:p>
            <w:pPr>
              <w:spacing w:after="0"/>
            </w:pPr>
            <w:r/>
            <w:r>
              <w:rPr>
                <w:sz w:val="20"/>
              </w:rPr>
              <w:t>Confidentiality, accuracy, client interaction</w:t>
            </w:r>
          </w:p>
        </w:tc>
      </w:tr>
    </w:tbl>
    <w:p>
      <w:pPr>
        <w:spacing w:after="80"/>
      </w:pPr>
    </w:p>
    <w:p>
      <w:pPr>
        <w:pStyle w:val="Heading2"/>
      </w:pPr>
      <w:r>
        <w:t>Challenges Faced</w:t>
      </w:r>
    </w:p>
    <w:p>
      <w:pPr>
        <w:pStyle w:val="ListBullet"/>
      </w:pPr>
      <w:r>
        <w:t>Peak workload around filing deadlines</w:t>
      </w:r>
    </w:p>
    <w:p>
      <w:pPr>
        <w:pStyle w:val="ListBullet"/>
      </w:pPr>
      <w:r>
        <w:t>Reading handwritten bills</w:t>
      </w:r>
    </w:p>
    <w:p>
      <w:pPr>
        <w:pStyle w:val="Heading1"/>
      </w:pPr>
      <w:r>
        <w:t>06  Conclusion</w:t>
      </w:r>
    </w:p>
    <w:p>
      <w:pPr>
        <w:jc w:val="both"/>
      </w:pPr>
      <w:r>
        <w:t>The internship strengthened my understanding of accounting and taxation and taught me the importance of accuracy and ethics.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5EBE7"/>
            <w:tcBorders>
              <w:left w:val="single" w:sz="36" w:space="0" w:color="9A3412"/>
            </w:tcBorders>
          </w:tcPr>
          <w:p>
            <w:pPr>
              <w:spacing w:after="60"/>
            </w:pPr>
            <w:r>
              <w:rPr>
                <w:b/>
                <w:color w:val="9A3412"/>
              </w:rPr>
              <w:t>Suggestions for future interns</w:t>
            </w:r>
          </w:p>
          <w:p>
            <w:pPr>
              <w:spacing w:after="0"/>
            </w:pPr>
            <w:r>
              <w:t>Revise basic accounting entries and Excel shortcuts before joining.</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933"/>
        <w:gridCol w:w="1556"/>
        <w:gridCol w:w="4668"/>
        <w:gridCol w:w="1867"/>
      </w:tblGrid>
      <w:tr>
        <w:trPr>
          <w:tblHeader/>
        </w:trPr>
        <w:tc>
          <w:tcPr>
            <w:tcW w:type="dxa" w:w="934"/>
            <w:vAlign w:val="center"/>
            <w:shd w:val="clear" w:color="auto" w:fill="111827"/>
          </w:tcPr>
          <w:p>
            <w:pPr>
              <w:spacing w:after="0"/>
              <w:jc w:val="center"/>
            </w:pPr>
            <w:r/>
            <w:r>
              <w:rPr>
                <w:b/>
                <w:color w:val="FFFFFF"/>
                <w:sz w:val="20"/>
              </w:rPr>
              <w:t>Week</w:t>
            </w:r>
          </w:p>
        </w:tc>
        <w:tc>
          <w:tcPr>
            <w:tcW w:type="dxa" w:w="1556"/>
            <w:vAlign w:val="center"/>
            <w:shd w:val="clear" w:color="auto" w:fill="111827"/>
          </w:tcPr>
          <w:p>
            <w:pPr>
              <w:spacing w:after="0"/>
              <w:jc w:val="center"/>
            </w:pPr>
            <w:r/>
            <w:r>
              <w:rPr>
                <w:b/>
                <w:color w:val="FFFFFF"/>
                <w:sz w:val="20"/>
              </w:rPr>
              <w:t>Days present</w:t>
            </w:r>
          </w:p>
        </w:tc>
        <w:tc>
          <w:tcPr>
            <w:tcW w:type="dxa" w:w="4668"/>
            <w:vAlign w:val="center"/>
            <w:shd w:val="clear" w:color="auto" w:fill="111827"/>
          </w:tcPr>
          <w:p>
            <w:pPr>
              <w:spacing w:after="0"/>
              <w:jc w:val="left"/>
            </w:pPr>
            <w:r/>
            <w:r>
              <w:rPr>
                <w:b/>
                <w:color w:val="FFFFFF"/>
                <w:sz w:val="20"/>
              </w:rPr>
              <w:t>Mentor remarks</w:t>
            </w:r>
          </w:p>
        </w:tc>
        <w:tc>
          <w:tcPr>
            <w:tcW w:type="dxa" w:w="1867"/>
            <w:vAlign w:val="center"/>
            <w:shd w:val="clear" w:color="auto" w:fill="111827"/>
          </w:tcPr>
          <w:p>
            <w:pPr>
              <w:spacing w:after="0"/>
              <w:jc w:val="center"/>
            </w:pPr>
            <w:r/>
            <w:r>
              <w:rPr>
                <w:b/>
                <w:color w:val="FFFFFF"/>
                <w:sz w:val="20"/>
              </w:rPr>
              <w:t>Mentor sign</w:t>
            </w:r>
          </w:p>
        </w:tc>
      </w:tr>
      <w:tr>
        <w:tc>
          <w:tcPr>
            <w:tcW w:type="dxa" w:w="934"/>
            <w:vAlign w:val="center"/>
          </w:tcPr>
          <w:p>
            <w:pPr>
              <w:spacing w:after="0"/>
              <w:jc w:val="center"/>
            </w:pPr>
            <w:r/>
            <w:r>
              <w:rPr>
                <w:sz w:val="20"/>
              </w:rPr>
              <w:t>1</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2</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3</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4</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5</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6</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23"/>
        <w:gridCol w:w="1418"/>
        <w:gridCol w:w="1418"/>
        <w:gridCol w:w="1418"/>
        <w:gridCol w:w="1547"/>
      </w:tblGrid>
      <w:tr>
        <w:trPr>
          <w:tblHeader/>
        </w:trPr>
        <w:tc>
          <w:tcPr>
            <w:tcW w:type="dxa" w:w="3223"/>
            <w:vAlign w:val="center"/>
            <w:shd w:val="clear" w:color="auto" w:fill="111827"/>
          </w:tcPr>
          <w:p>
            <w:pPr>
              <w:spacing w:after="0"/>
              <w:jc w:val="left"/>
            </w:pPr>
            <w:r/>
            <w:r>
              <w:rPr>
                <w:b/>
                <w:color w:val="FFFFFF"/>
                <w:sz w:val="20"/>
              </w:rPr>
              <w:t>Criterion</w:t>
            </w:r>
          </w:p>
        </w:tc>
        <w:tc>
          <w:tcPr>
            <w:tcW w:type="dxa" w:w="1418"/>
            <w:vAlign w:val="center"/>
            <w:shd w:val="clear" w:color="auto" w:fill="111827"/>
          </w:tcPr>
          <w:p>
            <w:pPr>
              <w:spacing w:after="0"/>
              <w:jc w:val="center"/>
            </w:pPr>
            <w:r/>
            <w:r>
              <w:rPr>
                <w:b/>
                <w:color w:val="FFFFFF"/>
                <w:sz w:val="20"/>
              </w:rPr>
              <w:t>Excellent</w:t>
            </w:r>
          </w:p>
        </w:tc>
        <w:tc>
          <w:tcPr>
            <w:tcW w:type="dxa" w:w="1418"/>
            <w:vAlign w:val="center"/>
            <w:shd w:val="clear" w:color="auto" w:fill="111827"/>
          </w:tcPr>
          <w:p>
            <w:pPr>
              <w:spacing w:after="0"/>
              <w:jc w:val="center"/>
            </w:pPr>
            <w:r/>
            <w:r>
              <w:rPr>
                <w:b/>
                <w:color w:val="FFFFFF"/>
                <w:sz w:val="20"/>
              </w:rPr>
              <w:t>Good</w:t>
            </w:r>
          </w:p>
        </w:tc>
        <w:tc>
          <w:tcPr>
            <w:tcW w:type="dxa" w:w="1418"/>
            <w:vAlign w:val="center"/>
            <w:shd w:val="clear" w:color="auto" w:fill="111827"/>
          </w:tcPr>
          <w:p>
            <w:pPr>
              <w:spacing w:after="0"/>
              <w:jc w:val="center"/>
            </w:pPr>
            <w:r/>
            <w:r>
              <w:rPr>
                <w:b/>
                <w:color w:val="FFFFFF"/>
                <w:sz w:val="20"/>
              </w:rPr>
              <w:t>Average</w:t>
            </w:r>
          </w:p>
        </w:tc>
        <w:tc>
          <w:tcPr>
            <w:tcW w:type="dxa" w:w="1547"/>
            <w:vAlign w:val="center"/>
            <w:shd w:val="clear" w:color="auto" w:fill="111827"/>
          </w:tcPr>
          <w:p>
            <w:pPr>
              <w:spacing w:after="0"/>
              <w:jc w:val="center"/>
            </w:pPr>
            <w:r/>
            <w:r>
              <w:rPr>
                <w:b/>
                <w:color w:val="FFFFFF"/>
                <w:sz w:val="20"/>
              </w:rPr>
              <w:t>Needs work</w:t>
            </w:r>
          </w:p>
        </w:tc>
      </w:tr>
      <w:tr>
        <w:tc>
          <w:tcPr>
            <w:tcW w:type="dxa" w:w="3223"/>
            <w:vAlign w:val="center"/>
          </w:tcPr>
          <w:p>
            <w:pPr>
              <w:spacing w:after="0"/>
              <w:jc w:val="left"/>
            </w:pPr>
            <w:r/>
            <w:r>
              <w:rPr>
                <w:sz w:val="20"/>
              </w:rPr>
              <w:t>Technical skills</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Communication</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Punctuality</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Teamwork</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Initiative</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BCCCF"/>
      </w:pBdr>
    </w:pPr>
    <w:r/>
    <w:r>
      <w:rPr>
        <w:caps w:val="0"/>
        <w:color w:val="6B7079"/>
        <w:sz w:val="17"/>
      </w:rPr>
      <w:t>Internship Report · Agarwal &amp; Mehta Associates</w:t>
    </w:r>
    <w:r>
      <w:rPr>
        <w:color w:val="6B7079"/>
        <w:sz w:val="17"/>
      </w:rPr>
      <w:tab/>
      <w:t>Aman Gupta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Cambria" w:hAnsi="Cambria" w:cs="Cambria" w:eastAsia="Cambria"/>
      <w:b/>
      <w:bCs/>
      <w:i w:val="0"/>
      <w:color w:val="11182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9A34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alibri" w:hAnsi="Calibri" w:cs="Calibri" w:eastAsia="Calibri"/>
      <w:b/>
      <w:sz w:val="24"/>
      <w:szCs w:val="24"/>
    </w:rPr>
  </w:style>
  <w:style w:type="paragraph" w:customStyle="1" w:styleId="TOC2">
    <w:name w:val="TOC 2"/>
    <w:basedOn w:val="Normal"/>
    <w:pPr>
      <w:tabs>
        <w:tab w:pos="9026"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