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4"/>
        <w:gridCol w:w="4061"/>
      </w:tblGrid>
      <w:tr>
        <w:tc>
          <w:tcPr>
            <w:tcW w:type="dxa" w:w="4964"/>
          </w:tcPr>
          <w:p>
            <w:r>
              <w:rPr>
                <w:rFonts w:ascii="Roboto" w:hAnsi="Roboto" w:cs="Roboto" w:eastAsia="Roboto"/>
                <w:b/>
                <w:color w:val="4338CA"/>
                <w:sz w:val="40"/>
              </w:rPr>
              <w:t>TechNest IT Services</w:t>
            </w:r>
          </w:p>
          <w:p>
            <w:pPr>
              <w:spacing w:after="0"/>
            </w:pPr>
            <w:r>
              <w:t>Office 305, Cyber Tower</w:t>
            </w:r>
          </w:p>
          <w:p>
            <w:pPr>
              <w:spacing w:after="0"/>
            </w:pPr>
            <w:r>
              <w:t>Kolkata 700091</w:t>
            </w:r>
          </w:p>
          <w:p>
            <w:pPr>
              <w:spacing w:after="0"/>
            </w:pPr>
            <w:r>
              <w:t>billing@yourdomain.in</w:t>
            </w:r>
          </w:p>
        </w:tc>
        <w:tc>
          <w:tcPr>
            <w:tcW w:type="dxa" w:w="4061"/>
          </w:tcPr>
          <w:p>
            <w:pPr>
              <w:jc w:val="right"/>
            </w:pPr>
            <w:r>
              <w:rPr>
                <w:rFonts w:ascii="Roboto" w:hAnsi="Roboto" w:cs="Roboto" w:eastAsia="Roboto"/>
                <w:b/>
                <w:color w:val="222222"/>
                <w:sz w:val="60"/>
              </w:rPr>
              <w:t>INVOICE</w:t>
            </w:r>
          </w:p>
          <w:p>
            <w:pPr>
              <w:spacing w:after="0"/>
              <w:jc w:val="right"/>
            </w:pPr>
            <w:r>
              <w:rPr>
                <w:color w:val="767676"/>
              </w:rPr>
              <w:t xml:space="preserve">No.  </w:t>
            </w:r>
            <w:r>
              <w:rPr>
                <w:b/>
              </w:rPr>
              <w:t>TNIT/2026/0093</w:t>
            </w:r>
          </w:p>
          <w:p>
            <w:pPr>
              <w:spacing w:after="0"/>
              <w:jc w:val="right"/>
            </w:pPr>
            <w:r>
              <w:rPr>
                <w:color w:val="767676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767676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102" w:hRule="exact"/>
        </w:trPr>
        <w:tc>
          <w:tcPr>
            <w:tcW w:type="dxa" w:w="9026"/>
            <w:shd w:val="clear" w:color="auto" w:fill="4338CA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r>
              <w:rPr>
                <w:b/>
                <w:color w:val="4338CA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Client School Name</w:t>
            </w:r>
          </w:p>
          <w:p>
            <w:pPr>
              <w:spacing w:after="0"/>
            </w:pPr>
            <w:r>
              <w:t>Salt Lake, Sector V</w:t>
            </w:r>
          </w:p>
          <w:p>
            <w:pPr>
              <w:spacing w:after="0"/>
            </w:pPr>
            <w:r>
              <w:t>Kolkata 700091</w:t>
            </w:r>
          </w:p>
        </w:tc>
        <w:tc>
          <w:tcPr>
            <w:tcW w:type="dxa" w:w="4513"/>
          </w:tcPr>
          <w:p>
            <w:r>
              <w:rPr>
                <w:b/>
                <w:color w:val="4338CA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Annual maintenance contract</w:t>
            </w:r>
          </w:p>
          <w:p>
            <w:pPr>
              <w:spacing w:after="0"/>
            </w:pPr>
            <w:r>
              <w:t>Period: Apr 2026 – Mar 2027</w:t>
            </w:r>
          </w:p>
          <w:p>
            <w:pPr>
              <w:spacing w:after="0"/>
            </w:pPr>
            <w:r>
              <w:t>Systems covered: 60 desktops, 4 servers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5"/>
        <w:gridCol w:w="4750"/>
        <w:gridCol w:w="831"/>
        <w:gridCol w:w="1425"/>
        <w:gridCol w:w="1544"/>
      </w:tblGrid>
      <w:tr>
        <w:trPr>
          <w:tblHeader/>
        </w:trPr>
        <w:tc>
          <w:tcPr>
            <w:tcW w:type="dxa" w:w="475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4750"/>
            <w:vAlign w:val="center"/>
            <w:shd w:val="clear" w:color="auto" w:fill="222222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Description</w:t>
            </w:r>
          </w:p>
        </w:tc>
        <w:tc>
          <w:tcPr>
            <w:tcW w:type="dxa" w:w="831"/>
            <w:vAlign w:val="center"/>
            <w:shd w:val="clear" w:color="auto" w:fill="222222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Qty</w:t>
            </w:r>
          </w:p>
        </w:tc>
        <w:tc>
          <w:tcPr>
            <w:tcW w:type="dxa" w:w="1425"/>
            <w:vAlign w:val="center"/>
            <w:shd w:val="clear" w:color="auto" w:fill="222222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Rate (₹)</w:t>
            </w:r>
          </w:p>
        </w:tc>
        <w:tc>
          <w:tcPr>
            <w:tcW w:type="dxa" w:w="1544"/>
            <w:vAlign w:val="center"/>
            <w:shd w:val="clear" w:color="auto" w:fill="222222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19"/>
              </w:rPr>
              <w:t>Amount (₹)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AMC — desktops (per system, per year)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1,200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72,000</w:t>
            </w:r>
          </w:p>
        </w:tc>
      </w:tr>
      <w:tr>
        <w:tc>
          <w:tcPr>
            <w:tcW w:type="dxa" w:w="475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4750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AMC — servers (per server, per year)</w:t>
            </w:r>
          </w:p>
        </w:tc>
        <w:tc>
          <w:tcPr>
            <w:tcW w:type="dxa" w:w="831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1425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9,000</w:t>
            </w:r>
          </w:p>
        </w:tc>
        <w:tc>
          <w:tcPr>
            <w:tcW w:type="dxa" w:w="1544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36,000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Antivirus licences (1 year)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64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450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28,800</w:t>
            </w:r>
          </w:p>
        </w:tc>
      </w:tr>
      <w:tr>
        <w:tc>
          <w:tcPr>
            <w:tcW w:type="dxa" w:w="475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4750"/>
            <w:vAlign w:val="center"/>
            <w:shd w:val="clear" w:color="auto" w:fill="ECEB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On-site engineer visits (bi-weekly)</w:t>
            </w:r>
          </w:p>
        </w:tc>
        <w:tc>
          <w:tcPr>
            <w:tcW w:type="dxa" w:w="831"/>
            <w:vAlign w:val="center"/>
            <w:shd w:val="clear" w:color="auto" w:fill="ECEB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26</w:t>
            </w:r>
          </w:p>
        </w:tc>
        <w:tc>
          <w:tcPr>
            <w:tcW w:type="dxa" w:w="1425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0</w:t>
            </w:r>
          </w:p>
        </w:tc>
        <w:tc>
          <w:tcPr>
            <w:tcW w:type="dxa" w:w="1544"/>
            <w:vAlign w:val="center"/>
            <w:shd w:val="clear" w:color="auto" w:fill="ECEBFA"/>
          </w:tcPr>
          <w:p>
            <w:pPr>
              <w:spacing w:after="0"/>
              <w:jc w:val="right"/>
            </w:pPr>
            <w:r/>
            <w:r>
              <w:rPr>
                <w:sz w:val="19"/>
              </w:rPr>
              <w:t>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₹136,800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₹24,624</w:t>
            </w:r>
          </w:p>
        </w:tc>
      </w:tr>
      <w:tr>
        <w:tc>
          <w:tcPr>
            <w:tcW w:type="dxa" w:w="2268"/>
            <w:shd w:val="clear" w:color="auto" w:fill="4338CA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4338CA"/>
          </w:tcPr>
          <w:p>
            <w:pPr>
              <w:jc w:val="right"/>
            </w:pPr>
            <w:r>
              <w:rPr>
                <w:b/>
                <w:color w:val="FFFFFF"/>
              </w:rPr>
              <w:t>₹161,424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4338CA"/>
        </w:rPr>
        <w:t>Payment details</w:t>
      </w:r>
    </w:p>
    <w:p>
      <w:pPr>
        <w:spacing w:after="0"/>
      </w:pPr>
      <w:r>
        <w:t>Account name: TechNest IT Services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4338CA"/>
        </w:rPr>
        <w:t>Terms</w:t>
      </w:r>
    </w:p>
    <w:p>
      <w:pPr>
        <w:spacing w:after="0"/>
      </w:pPr>
      <w:r>
        <w:t>Billed annually in advance. Response time 4 working hours. Spares charged separately at actuals.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4"/>
        <w:gridCol w:w="4061"/>
      </w:tblGrid>
      <w:tr>
        <w:tc>
          <w:tcPr>
            <w:tcW w:type="dxa" w:w="4964"/>
          </w:tcPr>
          <w:p>
            <w:pPr>
              <w:spacing w:before="440"/>
            </w:pPr>
            <w:r>
              <w:rPr>
                <w:i/>
                <w:color w:val="767676"/>
              </w:rPr>
              <w:t>Thank you for your business!</w:t>
            </w:r>
          </w:p>
        </w:tc>
        <w:tc>
          <w:tcPr>
            <w:tcW w:type="dxa" w:w="4061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67676"/>
        <w:sz w:val="16"/>
      </w:rPr>
      <w:t>TechNest IT Services  ·  GSTIN: 00AAAAA0000A1Z5  ·  +91 33 0000 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Roboto" w:hAnsi="Roboto" w:cs="Roboto" w:eastAsia="Roboto"/>
      <w:color w:val="222222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4338CA"/>
      </w:pBdr>
    </w:pPr>
    <w:rPr>
      <w:rFonts w:ascii="Roboto" w:hAnsi="Roboto" w:cs="Roboto" w:eastAsia="Roboto"/>
      <w:b/>
      <w:bCs/>
      <w:i w:val="0"/>
      <w:color w:val="2222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oboto" w:hAnsi="Roboto" w:cs="Roboto" w:eastAsia="Roboto"/>
      <w:b/>
      <w:bCs/>
      <w:i w:val="0"/>
      <w:color w:val="4338CA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oboto" w:hAnsi="Roboto" w:cs="Roboto" w:eastAsia="Roboto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oboto" w:hAnsi="Roboto" w:cs="Roboto" w:eastAsia="Roboto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Roboto" w:hAnsi="Roboto" w:cs="Roboto" w:eastAsia="Robo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oboto" w:hAnsi="Roboto" w:cs="Roboto" w:eastAsia="Roboto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Roboto" w:hAnsi="Roboto" w:cs="Roboto" w:eastAsia="Robo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Roboto" w:hAnsi="Roboto" w:cs="Roboto" w:eastAsia="Roboto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Roboto" w:hAnsi="Roboto" w:cs="Roboto" w:eastAsia="Roboto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