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260" w:type="dxa"/>
          <w:left w:w="360" w:type="dxa"/>
          <w:bottom w:w="220" w:type="dxa"/>
          <w:right w:w="360" w:type="dxa"/>
        </w:tblCellMar>
      </w:tblPr>
      <w:tblGrid>
        <w:gridCol w:w="9639"/>
      </w:tblGrid>
      <w:tr>
        <w:tc>
          <w:tcPr>
            <w:tcW w:type="dxa" w:w="9638"/>
            <w:shd w:val="clear" w:color="auto" w:fill="1E3A8A"/>
          </w:tcPr>
          <w:p>
            <w:pPr>
              <w:spacing w:after="40"/>
            </w:pPr>
            <w:r>
              <w:rPr>
                <w:b/>
                <w:color w:val="FFFFFF"/>
                <w:sz w:val="18"/>
              </w:rPr>
              <w:t>SUNRISE PUBLIC SCHOOL</w:t>
            </w:r>
          </w:p>
          <w:p>
            <w:pPr>
              <w:spacing w:after="0" w:line="240" w:lineRule="auto"/>
            </w:pPr>
            <w:r>
              <w:rPr>
                <w:rFonts w:ascii="Calibri" w:hAnsi="Calibri" w:cs="Calibri" w:eastAsia="Calibri"/>
                <w:b/>
                <w:color w:val="FFFFFF"/>
                <w:sz w:val="68"/>
              </w:rPr>
              <w:t>The Sunrise Times</w:t>
            </w:r>
          </w:p>
          <w:p>
            <w:pPr>
              <w:spacing w:after="0"/>
            </w:pPr>
            <w:r>
              <w:rPr>
                <w:color w:val="FFFFFF"/>
                <w:sz w:val="22"/>
              </w:rPr>
              <w:t>News and stories from our school community</w:t>
            </w:r>
          </w:p>
        </w:tc>
      </w:tr>
    </w:tbl>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bottom w:val="single" w:sz="8" w:space="0" w:color="1F2328"/>
        </w:tblBorders>
      </w:tblPr>
      <w:tblGrid>
        <w:gridCol w:w="4819"/>
        <w:gridCol w:w="4819"/>
      </w:tblGrid>
      <w:tr>
        <w:tc>
          <w:tcPr>
            <w:tcW w:type="dxa" w:w="4819"/>
          </w:tcPr>
          <w:p>
            <w:pPr>
              <w:spacing w:after="40"/>
            </w:pPr>
            <w:r>
              <w:rPr>
                <w:b/>
                <w:sz w:val="19"/>
              </w:rPr>
              <w:t>Volume 8 · Issue 3</w:t>
            </w:r>
          </w:p>
        </w:tc>
        <w:tc>
          <w:tcPr>
            <w:tcW w:type="dxa" w:w="4819"/>
          </w:tcPr>
          <w:p>
            <w:pPr>
              <w:spacing w:after="40"/>
              <w:jc w:val="right"/>
            </w:pPr>
            <w:r>
              <w:rPr>
                <w:sz w:val="19"/>
              </w:rPr>
              <w:t>March 2026</w:t>
            </w:r>
          </w:p>
        </w:tc>
      </w:tr>
    </w:tbl>
    <w:p>
      <w:pPr>
        <w:spacing w:after="80"/>
      </w:pPr>
    </w:p>
    <w:tbl>
      <w:tblPr>
        <w:tblLayout w:type="fixed"/>
        <w:tblLook w:firstColumn="1" w:firstRow="1" w:lastColumn="0" w:lastRow="0" w:noHBand="0" w:noVBand="1" w:val="04A0"/>
        <w:tblW w:w="9639" w:type="dxa"/>
        <w:tblLayout w:type="fixed"/>
        <w:tblBorders>
          <w:top w:val="single" w:sz="8" w:space="0" w:color="1E3A8A"/>
          <w:left w:val="single" w:sz="8" w:space="0" w:color="1E3A8A"/>
          <w:bottom w:val="single" w:sz="8" w:space="0" w:color="1E3A8A"/>
          <w:right w:val="single" w:sz="8" w:space="0" w:color="1E3A8A"/>
          <w:insideH w:val="single" w:sz="8" w:space="0" w:color="1E3A8A"/>
          <w:insideV w:val="single" w:sz="8" w:space="0" w:color="1E3A8A"/>
        </w:tblBorders>
        <w:tblCellMar>
          <w:top w:w="140" w:type="dxa"/>
          <w:left w:w="200" w:type="dxa"/>
          <w:bottom w:w="140" w:type="dxa"/>
          <w:right w:w="200" w:type="dxa"/>
        </w:tblCellMar>
      </w:tblPr>
      <w:tblGrid>
        <w:gridCol w:w="9639"/>
      </w:tblGrid>
      <w:tr>
        <w:tc>
          <w:tcPr>
            <w:tcW w:type="dxa" w:w="9638"/>
            <w:shd w:val="clear" w:color="auto" w:fill="E8EBF3"/>
          </w:tcPr>
          <w:p>
            <w:pPr>
              <w:spacing w:after="60"/>
            </w:pPr>
            <w:r>
              <w:rPr>
                <w:b/>
                <w:color w:val="1E3A8A"/>
              </w:rPr>
              <w:t>In this issue</w:t>
            </w:r>
          </w:p>
          <w:p>
            <w:pPr>
              <w:spacing w:after="40"/>
            </w:pPr>
            <w:r>
              <w:t>•  Science Exhibition Draws Record Visitors</w:t>
            </w:r>
          </w:p>
          <w:p>
            <w:pPr>
              <w:spacing w:after="40"/>
            </w:pPr>
            <w:r>
              <w:t>•  Board Exam Preparation Support</w:t>
            </w:r>
          </w:p>
          <w:p>
            <w:pPr>
              <w:spacing w:after="40"/>
            </w:pPr>
            <w:r>
              <w:t>•  Sports Day Highlights</w:t>
            </w:r>
          </w:p>
          <w:p>
            <w:pPr>
              <w:spacing w:after="40"/>
            </w:pPr>
            <w:r>
              <w:t>•  Reading Week</w:t>
            </w:r>
          </w:p>
          <w:p>
            <w:pPr>
              <w:spacing w:after="40"/>
            </w:pPr>
            <w:r>
              <w:t>•  Eco Club Update</w:t>
            </w:r>
          </w:p>
          <w:p>
            <w:pPr>
              <w:spacing w:after="40"/>
            </w:pPr>
            <w:r>
              <w:t>•  Inter-School Debate</w:t>
            </w:r>
          </w:p>
          <w:p>
            <w:pPr>
              <w:spacing w:after="40"/>
            </w:pPr>
            <w:r>
              <w:t>•  Health Corner</w:t>
            </w:r>
          </w:p>
        </w:tc>
      </w:tr>
    </w:tbl>
    <w:p>
      <w:pPr>
        <w:spacing w:after="80"/>
      </w:pPr>
    </w:p>
    <w:p>
      <w:pPr>
        <w:pStyle w:val="Heading1"/>
      </w:pPr>
      <w:r>
        <w:t>Science Exhibition Draws Record Visitors</w:t>
      </w:r>
    </w:p>
    <w:p>
      <w:pPr>
        <w:jc w:val="both"/>
      </w:pPr>
      <w:r>
        <w:t>Our annual science exhibition on 21 February showcased over 80 working models made by students from Classes VI to XII. Parents, alumni and students from neighbouring schools explored projects on renewable energy, robotics, water conservation and health.</w:t>
      </w:r>
    </w:p>
    <w:p>
      <w:pPr>
        <w:jc w:val="both"/>
      </w:pPr>
      <w:r>
        <w:t>The judges praised the originality of several projects, including a low-cost water filter made from local materials and a solar-powered irrigation timer. Winning teams will represent the school at the district science fair next month.</w:t>
      </w:r>
    </w:p>
    <w:tbl>
      <w:tblPr>
        <w:tblLayout w:type="fixed"/>
        <w:tblLook w:firstColumn="1" w:firstRow="1" w:lastColumn="0" w:lastRow="0" w:noHBand="0" w:noVBand="1" w:val="04A0"/>
        <w:tblW w:w="9639"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3213"/>
        <w:gridCol w:w="3213"/>
        <w:gridCol w:w="3213"/>
      </w:tblGrid>
      <w:tr>
        <w:tc>
          <w:tcPr>
            <w:tcW w:type="dxa" w:w="3213"/>
            <w:shd w:val="clear" w:color="auto" w:fill="CED4E5"/>
          </w:tcPr>
          <w:p>
            <w:pPr>
              <w:spacing w:after="40"/>
            </w:pPr>
            <w:r>
              <w:rPr>
                <w:rFonts w:ascii="Calibri" w:hAnsi="Calibri" w:cs="Calibri" w:eastAsia="Calibri"/>
                <w:b/>
                <w:color w:val="1E3A8A"/>
                <w:sz w:val="40"/>
              </w:rPr>
              <w:t>80+</w:t>
            </w:r>
          </w:p>
          <w:p>
            <w:pPr>
              <w:spacing w:after="0"/>
            </w:pPr>
            <w:r>
              <w:rPr>
                <w:sz w:val="18"/>
              </w:rPr>
              <w:t>Models displayed</w:t>
            </w:r>
          </w:p>
        </w:tc>
        <w:tc>
          <w:tcPr>
            <w:tcW w:type="dxa" w:w="3213"/>
            <w:shd w:val="clear" w:color="auto" w:fill="CED4E5"/>
          </w:tcPr>
          <w:p>
            <w:pPr>
              <w:spacing w:after="40"/>
            </w:pPr>
            <w:r>
              <w:rPr>
                <w:rFonts w:ascii="Calibri" w:hAnsi="Calibri" w:cs="Calibri" w:eastAsia="Calibri"/>
                <w:b/>
                <w:color w:val="1E3A8A"/>
                <w:sz w:val="40"/>
              </w:rPr>
              <w:t>600</w:t>
            </w:r>
          </w:p>
          <w:p>
            <w:pPr>
              <w:spacing w:after="0"/>
            </w:pPr>
            <w:r>
              <w:rPr>
                <w:sz w:val="18"/>
              </w:rPr>
              <w:t>Visitors</w:t>
            </w:r>
          </w:p>
        </w:tc>
        <w:tc>
          <w:tcPr>
            <w:tcW w:type="dxa" w:w="3213"/>
            <w:shd w:val="clear" w:color="auto" w:fill="CED4E5"/>
          </w:tcPr>
          <w:p>
            <w:pPr>
              <w:spacing w:after="40"/>
            </w:pPr>
            <w:r>
              <w:rPr>
                <w:rFonts w:ascii="Calibri" w:hAnsi="Calibri" w:cs="Calibri" w:eastAsia="Calibri"/>
                <w:b/>
                <w:color w:val="1E3A8A"/>
                <w:sz w:val="40"/>
              </w:rPr>
              <w:t>12</w:t>
            </w:r>
          </w:p>
          <w:p>
            <w:pPr>
              <w:spacing w:after="0"/>
            </w:pPr>
            <w:r>
              <w:rPr>
                <w:sz w:val="18"/>
              </w:rPr>
              <w:t>Prizes awarded</w:t>
            </w:r>
          </w:p>
        </w:tc>
      </w:tr>
    </w:tbl>
    <w:p>
      <w:pPr>
        <w:spacing w:after="120"/>
      </w:pPr>
    </w:p>
    <w:p>
      <w:pPr>
        <w:sectPr>
          <w:headerReference w:type="default" r:id="rId9"/>
          <w:footerReference w:type="default" r:id="rId10"/>
          <w:pgSz w:w="11906" w:h="16838"/>
          <w:pgMar w:top="1077" w:right="1134" w:bottom="1077" w:left="1134" w:header="567" w:footer="567" w:gutter="0"/>
          <w:cols w:space="720"/>
          <w:titlePg/>
          <w:docGrid w:linePitch="360"/>
        </w:sectPr>
      </w:pPr>
    </w:p>
    <w:p>
      <w:pPr>
        <w:pStyle w:val="Heading2"/>
      </w:pPr>
      <w:r>
        <w:t>Board Exam Preparation Support</w:t>
      </w:r>
    </w:p>
    <w:p>
      <w:pPr>
        <w:jc w:val="both"/>
      </w:pPr>
      <w:r>
        <w:t>Extra classes for Classes X and XII are being held every Saturday until the examinations. Teachers are also running doubt-clearing sessions during the lunch break.</w:t>
      </w:r>
    </w:p>
    <w:p>
      <w:pPr>
        <w:jc w:val="both"/>
      </w:pPr>
      <w:r>
        <w:t>Students are encouraged to follow the revised timetable shared by their class teachers and to attempt the sample papers uploaded on the school portal.</w:t>
      </w:r>
    </w:p>
    <w:p>
      <w:pPr>
        <w:pStyle w:val="Heading2"/>
      </w:pPr>
      <w:r>
        <w:t>Sports Day Highlights</w:t>
      </w:r>
    </w:p>
    <w:p>
      <w:pPr>
        <w:jc w:val="both"/>
      </w:pPr>
      <w:r>
        <w:t>Blue House won the overall championship at this year’s Sports Day, held on 7 February. Records were broken in the girls’ 100 m and the boys’ long jump.</w:t>
      </w:r>
    </w:p>
    <w:p>
      <w:pPr>
        <w:jc w:val="both"/>
      </w:pPr>
      <w:r>
        <w:t>The march past and the drill display by the primary section were special highlights.</w:t>
      </w:r>
    </w:p>
    <w:p>
      <w:pPr>
        <w:pStyle w:val="Quote"/>
      </w:pPr>
      <w:r>
        <w:t>Science is not just in textbooks — it is in every question we ask.</w:t>
      </w:r>
    </w:p>
    <w:p>
      <w:pPr>
        <w:spacing w:after="160"/>
        <w:jc w:val="right"/>
      </w:pPr>
      <w:r>
        <w:rPr>
          <w:i/>
          <w:color w:val="74777A"/>
        </w:rPr>
        <w:t>— Principal’s message</w:t>
      </w:r>
    </w:p>
    <w:p>
      <w:pPr>
        <w:pStyle w:val="Heading2"/>
      </w:pPr>
      <w:r>
        <w:t>Reading Week</w:t>
      </w:r>
    </w:p>
    <w:p>
      <w:pPr>
        <w:jc w:val="both"/>
      </w:pPr>
      <w:r>
        <w:t>The library celebrated Reading Week with storytelling sessions, a book exchange and an author interaction for middle-school students.</w:t>
      </w:r>
    </w:p>
    <w:p>
      <w:pPr>
        <w:pStyle w:val="Heading2"/>
      </w:pPr>
      <w:r>
        <w:t>Eco Club Update</w:t>
      </w:r>
    </w:p>
    <w:p>
      <w:pPr>
        <w:jc w:val="both"/>
      </w:pPr>
      <w:r>
        <w:t>The Eco Club planted 120 saplings around the campus and launched a paper-recycling drive in every classroom.</w:t>
      </w:r>
    </w:p>
    <w:p>
      <w:pPr>
        <w:pStyle w:val="Heading2"/>
      </w:pPr>
      <w:r>
        <w:t>Inter-School Debate</w:t>
      </w:r>
    </w:p>
    <w:p>
      <w:pPr>
        <w:jc w:val="both"/>
      </w:pPr>
      <w:r>
        <w:t>Our senior debate team reached the finals of the inter-school debate competition on the topic of technology in education.</w:t>
      </w:r>
    </w:p>
    <w:p>
      <w:pPr>
        <w:pStyle w:val="Heading2"/>
      </w:pPr>
      <w:r>
        <w:t>Health Corner</w:t>
      </w:r>
    </w:p>
    <w:p>
      <w:pPr>
        <w:jc w:val="both"/>
      </w:pPr>
      <w:r>
        <w:t>With exams approaching, remember to sleep well, drink plenty of water and take short breaks while studying.</w:t>
      </w:r>
    </w:p>
    <w:p>
      <w:pPr>
        <w:sectPr>
          <w:type w:val="continuous"/>
          <w:pgSz w:w="11906" w:h="16838"/>
          <w:pgMar w:top="1077" w:right="1134" w:bottom="1077" w:left="1134" w:header="567" w:footer="567" w:gutter="0"/>
          <w:titlePg/>
          <w:docGrid w:linePitch="360"/>
          <w:cols w:num="2" w:space="453"/>
        </w:sectPr>
      </w:pPr>
    </w:p>
    <w:p>
      <w:pPr>
        <w:pStyle w:val="Heading2"/>
      </w:pPr>
      <w:r>
        <w:t>Spotlight: Ms. Kavita Iyer</w:t>
      </w:r>
    </w:p>
    <w:p>
      <w:pPr>
        <w:spacing w:after="40"/>
      </w:pPr>
      <w:r>
        <w:rPr>
          <w:i/>
          <w:color w:val="74777A"/>
        </w:rPr>
        <w:t>Mathematics teacher and Robotics Club mentor</w:t>
      </w:r>
    </w:p>
    <w:p>
      <w:pPr>
        <w:jc w:val="both"/>
      </w:pPr>
      <w:r>
        <w:t>Ms. Iyer has mentored the Robotics Club for five years. Under her guidance, students have built line-following robots and smart dustbins, and this year two teams qualified for the regional robotics challenge.</w:t>
      </w:r>
    </w:p>
    <w:p>
      <w:pPr>
        <w:pStyle w:val="Heading2"/>
      </w:pPr>
      <w:r>
        <w:t>Upcoming</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065"/>
        <w:gridCol w:w="4819"/>
        <w:gridCol w:w="2754"/>
      </w:tblGrid>
      <w:tr>
        <w:trPr>
          <w:tblHeader/>
        </w:trPr>
        <w:tc>
          <w:tcPr>
            <w:tcW w:type="dxa" w:w="2065"/>
            <w:vAlign w:val="center"/>
            <w:shd w:val="clear" w:color="auto" w:fill="1F2328"/>
          </w:tcPr>
          <w:p>
            <w:pPr>
              <w:spacing w:after="0"/>
            </w:pPr>
            <w:r/>
            <w:r>
              <w:rPr>
                <w:b/>
                <w:color w:val="FFFFFF"/>
                <w:sz w:val="20"/>
              </w:rPr>
              <w:t>Date</w:t>
            </w:r>
          </w:p>
        </w:tc>
        <w:tc>
          <w:tcPr>
            <w:tcW w:type="dxa" w:w="4819"/>
            <w:vAlign w:val="center"/>
            <w:shd w:val="clear" w:color="auto" w:fill="1F2328"/>
          </w:tcPr>
          <w:p>
            <w:pPr>
              <w:spacing w:after="0"/>
            </w:pPr>
            <w:r/>
            <w:r>
              <w:rPr>
                <w:b/>
                <w:color w:val="FFFFFF"/>
                <w:sz w:val="20"/>
              </w:rPr>
              <w:t>Event</w:t>
            </w:r>
          </w:p>
        </w:tc>
        <w:tc>
          <w:tcPr>
            <w:tcW w:type="dxa" w:w="2754"/>
            <w:vAlign w:val="center"/>
            <w:shd w:val="clear" w:color="auto" w:fill="1F2328"/>
          </w:tcPr>
          <w:p>
            <w:pPr>
              <w:spacing w:after="0"/>
            </w:pPr>
            <w:r/>
            <w:r>
              <w:rPr>
                <w:b/>
                <w:color w:val="FFFFFF"/>
                <w:sz w:val="20"/>
              </w:rPr>
              <w:t>Where</w:t>
            </w:r>
          </w:p>
        </w:tc>
      </w:tr>
      <w:tr>
        <w:tc>
          <w:tcPr>
            <w:tcW w:type="dxa" w:w="2065"/>
            <w:vAlign w:val="center"/>
          </w:tcPr>
          <w:p>
            <w:pPr>
              <w:spacing w:after="0"/>
            </w:pPr>
            <w:r/>
            <w:r>
              <w:rPr>
                <w:sz w:val="20"/>
              </w:rPr>
              <w:t>15 Mar</w:t>
            </w:r>
          </w:p>
        </w:tc>
        <w:tc>
          <w:tcPr>
            <w:tcW w:type="dxa" w:w="4819"/>
            <w:vAlign w:val="center"/>
          </w:tcPr>
          <w:p>
            <w:pPr>
              <w:spacing w:after="0"/>
            </w:pPr>
            <w:r/>
            <w:r>
              <w:rPr>
                <w:sz w:val="20"/>
              </w:rPr>
              <w:t>Board examinations begin (Classes X &amp; XII)</w:t>
            </w:r>
          </w:p>
        </w:tc>
        <w:tc>
          <w:tcPr>
            <w:tcW w:type="dxa" w:w="2754"/>
            <w:vAlign w:val="center"/>
          </w:tcPr>
          <w:p>
            <w:pPr>
              <w:spacing w:after="0"/>
            </w:pPr>
            <w:r/>
            <w:r>
              <w:rPr>
                <w:sz w:val="20"/>
              </w:rPr>
              <w:t>Exam halls</w:t>
            </w:r>
          </w:p>
        </w:tc>
      </w:tr>
      <w:tr>
        <w:tc>
          <w:tcPr>
            <w:tcW w:type="dxa" w:w="2065"/>
            <w:vAlign w:val="center"/>
            <w:shd w:val="clear" w:color="auto" w:fill="E8EBF3"/>
          </w:tcPr>
          <w:p>
            <w:pPr>
              <w:spacing w:after="0"/>
            </w:pPr>
            <w:r/>
            <w:r>
              <w:rPr>
                <w:sz w:val="20"/>
              </w:rPr>
              <w:t>28 Mar</w:t>
            </w:r>
          </w:p>
        </w:tc>
        <w:tc>
          <w:tcPr>
            <w:tcW w:type="dxa" w:w="4819"/>
            <w:vAlign w:val="center"/>
            <w:shd w:val="clear" w:color="auto" w:fill="E8EBF3"/>
          </w:tcPr>
          <w:p>
            <w:pPr>
              <w:spacing w:after="0"/>
            </w:pPr>
            <w:r/>
            <w:r>
              <w:rPr>
                <w:sz w:val="20"/>
              </w:rPr>
              <w:t>Annual result declaration (Classes VI–IX, XI)</w:t>
            </w:r>
          </w:p>
        </w:tc>
        <w:tc>
          <w:tcPr>
            <w:tcW w:type="dxa" w:w="2754"/>
            <w:vAlign w:val="center"/>
            <w:shd w:val="clear" w:color="auto" w:fill="E8EBF3"/>
          </w:tcPr>
          <w:p>
            <w:pPr>
              <w:spacing w:after="0"/>
            </w:pPr>
            <w:r/>
            <w:r>
              <w:rPr>
                <w:sz w:val="20"/>
              </w:rPr>
              <w:t>School portal</w:t>
            </w:r>
          </w:p>
        </w:tc>
      </w:tr>
      <w:tr>
        <w:tc>
          <w:tcPr>
            <w:tcW w:type="dxa" w:w="2065"/>
            <w:vAlign w:val="center"/>
          </w:tcPr>
          <w:p>
            <w:pPr>
              <w:spacing w:after="0"/>
            </w:pPr>
            <w:r/>
            <w:r>
              <w:rPr>
                <w:sz w:val="20"/>
              </w:rPr>
              <w:t>1 Apr</w:t>
            </w:r>
          </w:p>
        </w:tc>
        <w:tc>
          <w:tcPr>
            <w:tcW w:type="dxa" w:w="4819"/>
            <w:vAlign w:val="center"/>
          </w:tcPr>
          <w:p>
            <w:pPr>
              <w:spacing w:after="0"/>
            </w:pPr>
            <w:r/>
            <w:r>
              <w:rPr>
                <w:sz w:val="20"/>
              </w:rPr>
              <w:t>New session begins</w:t>
            </w:r>
          </w:p>
        </w:tc>
        <w:tc>
          <w:tcPr>
            <w:tcW w:type="dxa" w:w="2754"/>
            <w:vAlign w:val="center"/>
          </w:tcPr>
          <w:p>
            <w:pPr>
              <w:spacing w:after="0"/>
            </w:pPr>
            <w:r/>
            <w:r>
              <w:rPr>
                <w:sz w:val="20"/>
              </w:rPr>
              <w:t>Campus</w:t>
            </w:r>
          </w:p>
        </w:tc>
      </w:tr>
      <w:tr>
        <w:tc>
          <w:tcPr>
            <w:tcW w:type="dxa" w:w="2065"/>
            <w:vAlign w:val="center"/>
            <w:shd w:val="clear" w:color="auto" w:fill="E8EBF3"/>
          </w:tcPr>
          <w:p>
            <w:pPr>
              <w:spacing w:after="0"/>
            </w:pPr>
            <w:r/>
            <w:r>
              <w:rPr>
                <w:sz w:val="20"/>
              </w:rPr>
              <w:t>12 Apr</w:t>
            </w:r>
          </w:p>
        </w:tc>
        <w:tc>
          <w:tcPr>
            <w:tcW w:type="dxa" w:w="4819"/>
            <w:vAlign w:val="center"/>
            <w:shd w:val="clear" w:color="auto" w:fill="E8EBF3"/>
          </w:tcPr>
          <w:p>
            <w:pPr>
              <w:spacing w:after="0"/>
            </w:pPr>
            <w:r/>
            <w:r>
              <w:rPr>
                <w:sz w:val="20"/>
              </w:rPr>
              <w:t>Parent orientation</w:t>
            </w:r>
          </w:p>
        </w:tc>
        <w:tc>
          <w:tcPr>
            <w:tcW w:type="dxa" w:w="2754"/>
            <w:vAlign w:val="center"/>
            <w:shd w:val="clear" w:color="auto" w:fill="E8EBF3"/>
          </w:tcPr>
          <w:p>
            <w:pPr>
              <w:spacing w:after="0"/>
            </w:pPr>
            <w:r/>
            <w:r>
              <w:rPr>
                <w:sz w:val="20"/>
              </w:rPr>
              <w:t>Auditorium</w:t>
            </w:r>
          </w:p>
        </w:tc>
      </w:tr>
    </w:tbl>
    <w:p>
      <w:pPr>
        <w:spacing w:after="8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BF3"/>
            <w:tcBorders>
              <w:left w:val="single" w:sz="36" w:space="0" w:color="1E3A8A"/>
            </w:tcBorders>
          </w:tcPr>
          <w:p>
            <w:pPr>
              <w:spacing w:after="60"/>
            </w:pPr>
            <w:r>
              <w:rPr>
                <w:b/>
                <w:color w:val="1E3A8A"/>
              </w:rPr>
              <w:t>Notices</w:t>
            </w:r>
          </w:p>
          <w:p>
            <w:pPr>
              <w:spacing w:after="0"/>
            </w:pPr>
            <w:r>
              <w:t>Fee for the new session is due by 10 April.  •  Summer uniform from 1 April.  •  Lost-and-found items will be donated on 31 March.</w:t>
            </w:r>
          </w:p>
        </w:tc>
      </w:tr>
    </w:tbl>
    <w:p>
      <w:pPr>
        <w:spacing w:after="40"/>
      </w:pPr>
    </w:p>
    <w:p>
      <w:pPr>
        <w:pStyle w:val="Caption"/>
        <w:spacing w:before="160"/>
        <w:jc w:val="center"/>
      </w:pPr>
      <w:r>
        <w:t>Sunrise Public School · Sector 9, Your City · newsletter@yourschool.in · Editorial team: Students of Class XI</w:t>
      </w:r>
    </w:p>
    <w:sectPr w:rsidR="00FC693F" w:rsidRPr="0006063C" w:rsidSect="00034616">
      <w:type w:val="continuous"/>
      <w:pgSz w:w="11906" w:h="16838"/>
      <w:pgMar w:top="1077" w:right="1134" w:bottom="1077" w:left="1134" w:header="567" w:footer="567" w:gutter="0"/>
      <w:titlePg/>
      <w:docGrid w:linePitch="360"/>
      <w:cols w:num="1" w:space="45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rPr>
      <w:t xml:space="preserve">Page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FD0"/>
      </w:pBdr>
    </w:pPr>
    <w:r/>
    <w:r>
      <w:rPr>
        <w:caps w:val="0"/>
        <w:color w:val="74777A"/>
        <w:sz w:val="17"/>
      </w:rPr>
      <w:t>The Sunrise Times</w:t>
    </w:r>
    <w:r>
      <w:rPr>
        <w:color w:val="74777A"/>
        <w:sz w:val="17"/>
      </w:rPr>
      <w:tab/>
      <w:t>Volume 8 · Issue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98"/>
      <w:outlineLvl w:val="0"/>
      <w:pageBreakBefore w:val="0"/>
      <w:pBdr>
        <w:left w:val="single" w:sz="24" w:space="10" w:color="1E3A8A"/>
      </w:pBdr>
    </w:pPr>
    <w:rPr>
      <w:rFonts w:ascii="Calibri" w:hAnsi="Calibri" w:cs="Calibri" w:eastAsia="Calibri"/>
      <w:b/>
      <w:bCs/>
      <w:i w:val="0"/>
      <w:color w:val="1F2328"/>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libri" w:hAnsi="Calibri" w:cs="Calibri" w:eastAsia="Calibri"/>
      <w:b/>
      <w:bCs/>
      <w:i w:val="0"/>
      <w:color w:val="1E3A8A"/>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libri" w:hAnsi="Calibri" w:cs="Calibri" w:eastAsia="Calibri"/>
      <w:b/>
      <w:bCs/>
      <w:i w:val="0"/>
      <w:color w:val="1F2328"/>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libri" w:hAnsi="Calibri" w:cs="Calibri" w:eastAsia="Calibri"/>
      <w:b/>
      <w:color w:val="1F2328"/>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libri" w:hAnsi="Calibri" w:cs="Calibri" w:eastAsia="Calibri"/>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Calibri" w:hAnsi="Calibri" w:cs="Calibri" w:eastAsia="Calibri"/>
      <w:b/>
      <w:sz w:val="24"/>
      <w:szCs w:val="24"/>
    </w:rPr>
  </w:style>
  <w:style w:type="paragraph" w:customStyle="1" w:styleId="TOC2">
    <w:name w:val="TOC 2"/>
    <w:basedOn w:val="Normal"/>
    <w:pPr>
      <w:tabs>
        <w:tab w:pos="9638"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