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60" w:type="dxa"/>
          <w:left w:w="360" w:type="dxa"/>
          <w:bottom w:w="220" w:type="dxa"/>
          <w:right w:w="360" w:type="dxa"/>
        </w:tblCellMar>
      </w:tblPr>
      <w:tblGrid>
        <w:gridCol w:w="9412"/>
      </w:tblGrid>
      <w:tr>
        <w:tc>
          <w:tcPr>
            <w:tcW w:type="dxa" w:w="9411"/>
            <w:shd w:val="clear" w:color="auto" w:fill="BE123C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SAHYOG FOUNDATION</w:t>
            </w:r>
          </w:p>
          <w:p>
            <w:pPr>
              <w:spacing w:after="0" w:line="240" w:lineRule="auto"/>
            </w:pPr>
            <w:r>
              <w:rPr>
                <w:rFonts w:ascii="Libre Baskerville" w:hAnsi="Libre Baskerville" w:cs="Libre Baskerville" w:eastAsia="Libre Baskerville"/>
                <w:b/>
                <w:color w:val="FFFFFF"/>
                <w:sz w:val="68"/>
              </w:rPr>
              <w:t>Sahyog Stories</w:t>
            </w:r>
          </w:p>
          <w:p>
            <w:pPr>
              <w:spacing w:after="0"/>
            </w:pPr>
            <w:r>
              <w:rPr>
                <w:color w:val="FFFFFF"/>
                <w:sz w:val="22"/>
              </w:rPr>
              <w:t>Updates from the field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bottom w:val="single" w:sz="8" w:space="0" w:color="172033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40"/>
            </w:pPr>
            <w:r>
              <w:rPr>
                <w:b/>
                <w:sz w:val="19"/>
              </w:rPr>
              <w:t>Quarterly Update · Q2</w:t>
            </w:r>
          </w:p>
        </w:tc>
        <w:tc>
          <w:tcPr>
            <w:tcW w:type="dxa" w:w="4706"/>
          </w:tcPr>
          <w:p>
            <w:pPr>
              <w:spacing w:after="40"/>
              <w:jc w:val="right"/>
            </w:pPr>
            <w:r>
              <w:rPr>
                <w:sz w:val="19"/>
              </w:rPr>
              <w:t>July 2026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BE123C"/>
          <w:left w:val="single" w:sz="8" w:space="0" w:color="BE123C"/>
          <w:bottom w:val="single" w:sz="8" w:space="0" w:color="BE123C"/>
          <w:right w:val="single" w:sz="8" w:space="0" w:color="BE123C"/>
          <w:insideH w:val="single" w:sz="8" w:space="0" w:color="BE123C"/>
          <w:insideV w:val="single" w:sz="8" w:space="0" w:color="BE123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8E7EC"/>
          </w:tcPr>
          <w:p>
            <w:pPr>
              <w:spacing w:after="60"/>
            </w:pPr>
            <w:r>
              <w:rPr>
                <w:b/>
                <w:color w:val="BE123C"/>
              </w:rPr>
              <w:t>In this issue</w:t>
            </w:r>
          </w:p>
          <w:p>
            <w:pPr>
              <w:spacing w:after="40"/>
            </w:pPr>
            <w:r>
              <w:t>•  300 Women Complete Digital Skills Training</w:t>
            </w:r>
          </w:p>
          <w:p>
            <w:pPr>
              <w:spacing w:after="40"/>
            </w:pPr>
            <w:r>
              <w:t>•  Voices from the Field</w:t>
            </w:r>
          </w:p>
          <w:p>
            <w:pPr>
              <w:spacing w:after="40"/>
            </w:pPr>
            <w:r>
              <w:t>•  Trainer Development</w:t>
            </w:r>
          </w:p>
          <w:p>
            <w:pPr>
              <w:spacing w:after="40"/>
            </w:pPr>
            <w:r>
              <w:t>•  Partnerships</w:t>
            </w:r>
          </w:p>
          <w:p>
            <w:pPr>
              <w:spacing w:after="40"/>
            </w:pPr>
            <w:r>
              <w:t>•  What We Learned</w:t>
            </w:r>
          </w:p>
          <w:p>
            <w:pPr>
              <w:spacing w:after="40"/>
            </w:pPr>
            <w:r>
              <w:t>•  Thank You, Volunteers</w:t>
            </w:r>
          </w:p>
        </w:tc>
      </w:tr>
    </w:tbl>
    <w:p>
      <w:pPr>
        <w:spacing w:after="80"/>
      </w:pPr>
    </w:p>
    <w:p>
      <w:pPr>
        <w:pStyle w:val="Heading1"/>
      </w:pPr>
      <w:r>
        <w:t>300 Women Complete Digital Skills Training</w:t>
      </w:r>
    </w:p>
    <w:p>
      <w:pPr>
        <w:jc w:val="both"/>
      </w:pPr>
      <w:r>
        <w:t>Halfway through our digital literacy programme, 300 women from self-help groups have completed training in digital payments, record keeping and online safety.</w:t>
      </w:r>
    </w:p>
    <w:p>
      <w:pPr>
        <w:jc w:val="both"/>
      </w:pPr>
      <w:r>
        <w:t>Many participants now accept payments by QR code at their shops and keep simple sales records on their phones.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1CBD4"/>
          </w:tcPr>
          <w:p>
            <w:pPr>
              <w:spacing w:after="40"/>
            </w:pPr>
            <w:r>
              <w:rPr>
                <w:rFonts w:ascii="Libre Baskerville" w:hAnsi="Libre Baskerville" w:cs="Libre Baskerville" w:eastAsia="Libre Baskerville"/>
                <w:b/>
                <w:color w:val="BE123C"/>
                <w:sz w:val="40"/>
              </w:rPr>
              <w:t>300</w:t>
            </w:r>
          </w:p>
          <w:p>
            <w:pPr>
              <w:spacing w:after="0"/>
            </w:pPr>
            <w:r>
              <w:rPr>
                <w:sz w:val="18"/>
              </w:rPr>
              <w:t>Women trained</w:t>
            </w:r>
          </w:p>
        </w:tc>
        <w:tc>
          <w:tcPr>
            <w:tcW w:type="dxa" w:w="3137"/>
            <w:shd w:val="clear" w:color="auto" w:fill="F1CBD4"/>
          </w:tcPr>
          <w:p>
            <w:pPr>
              <w:spacing w:after="40"/>
            </w:pPr>
            <w:r>
              <w:rPr>
                <w:rFonts w:ascii="Libre Baskerville" w:hAnsi="Libre Baskerville" w:cs="Libre Baskerville" w:eastAsia="Libre Baskerville"/>
                <w:b/>
                <w:color w:val="BE123C"/>
                <w:sz w:val="40"/>
              </w:rPr>
              <w:t>14</w:t>
            </w:r>
          </w:p>
          <w:p>
            <w:pPr>
              <w:spacing w:after="0"/>
            </w:pPr>
            <w:r>
              <w:rPr>
                <w:sz w:val="18"/>
              </w:rPr>
              <w:t>Villages reached</w:t>
            </w:r>
          </w:p>
        </w:tc>
        <w:tc>
          <w:tcPr>
            <w:tcW w:type="dxa" w:w="3137"/>
            <w:shd w:val="clear" w:color="auto" w:fill="F1CBD4"/>
          </w:tcPr>
          <w:p>
            <w:pPr>
              <w:spacing w:after="40"/>
            </w:pPr>
            <w:r>
              <w:rPr>
                <w:rFonts w:ascii="Libre Baskerville" w:hAnsi="Libre Baskerville" w:cs="Libre Baskerville" w:eastAsia="Libre Baskerville"/>
                <w:b/>
                <w:color w:val="BE123C"/>
                <w:sz w:val="40"/>
              </w:rPr>
              <w:t>20</w:t>
            </w:r>
          </w:p>
          <w:p>
            <w:pPr>
              <w:spacing w:after="0"/>
            </w:pPr>
            <w:r>
              <w:rPr>
                <w:sz w:val="18"/>
              </w:rPr>
              <w:t>Community trainers</w:t>
            </w:r>
          </w:p>
        </w:tc>
      </w:tr>
    </w:tbl>
    <w:p>
      <w:pPr>
        <w:spacing w:after="120"/>
      </w:pPr>
    </w:p>
    <w:p>
      <w:pPr>
        <w:sectPr>
          <w:headerReference w:type="default" r:id="rId9"/>
          <w:footerReference w:type="default" r:id="rId10"/>
          <w:pgSz w:w="11906" w:h="16838"/>
          <w:pgMar w:top="1185" w:right="1247" w:bottom="1185" w:left="1247" w:header="567" w:footer="567" w:gutter="0"/>
          <w:cols w:space="720"/>
          <w:titlePg/>
          <w:docGrid w:linePitch="360"/>
        </w:sectPr>
      </w:pPr>
    </w:p>
    <w:p>
      <w:pPr>
        <w:pStyle w:val="Heading2"/>
      </w:pPr>
      <w:r>
        <w:t>Voices from the Field</w:t>
      </w:r>
    </w:p>
    <w:p>
      <w:pPr>
        <w:jc w:val="both"/>
      </w:pPr>
      <w:r>
        <w:t>“I used to depend on my son for every payment. Now I do it myself,” shared a participant who runs a tailoring business.</w:t>
      </w:r>
    </w:p>
    <w:p>
      <w:pPr>
        <w:pStyle w:val="Heading2"/>
      </w:pPr>
      <w:r>
        <w:t>Trainer Development</w:t>
      </w:r>
    </w:p>
    <w:p>
      <w:pPr>
        <w:jc w:val="both"/>
      </w:pPr>
      <w:r>
        <w:t>Twenty community trainers completed a refresher on teaching online selling.</w:t>
      </w:r>
    </w:p>
    <w:p>
      <w:pPr>
        <w:pStyle w:val="Quote"/>
      </w:pPr>
      <w:r>
        <w:t>Confidence is the first skill we teach.</w:t>
      </w:r>
    </w:p>
    <w:p>
      <w:pPr>
        <w:spacing w:after="160"/>
        <w:jc w:val="right"/>
      </w:pPr>
      <w:r>
        <w:rPr>
          <w:i/>
          <w:color w:val="6F7581"/>
        </w:rPr>
        <w:t>— Programme Director</w:t>
      </w:r>
    </w:p>
    <w:p>
      <w:pPr>
        <w:pStyle w:val="Heading2"/>
      </w:pPr>
      <w:r>
        <w:t>Partnerships</w:t>
      </w:r>
    </w:p>
    <w:p>
      <w:pPr>
        <w:jc w:val="both"/>
      </w:pPr>
      <w:r>
        <w:t>We partnered with a local bank branch to help participants open accounts.</w:t>
      </w:r>
    </w:p>
    <w:p>
      <w:pPr>
        <w:pStyle w:val="Heading2"/>
      </w:pPr>
      <w:r>
        <w:t>What We Learned</w:t>
      </w:r>
    </w:p>
    <w:p>
      <w:pPr>
        <w:jc w:val="both"/>
      </w:pPr>
      <w:r>
        <w:t>Evening sessions improved attendance during the sowing season.</w:t>
      </w:r>
    </w:p>
    <w:p>
      <w:pPr>
        <w:pStyle w:val="Heading2"/>
      </w:pPr>
      <w:r>
        <w:t>Thank You, Volunteers</w:t>
      </w:r>
    </w:p>
    <w:p>
      <w:pPr>
        <w:jc w:val="both"/>
      </w:pPr>
      <w:r>
        <w:t>Student volunteers helped design practice cards in the local language.</w:t>
      </w:r>
    </w:p>
    <w:p>
      <w:pPr>
        <w:sectPr>
          <w:type w:val="continuous"/>
          <w:pgSz w:w="11906" w:h="16838"/>
          <w:pgMar w:top="1185" w:right="1247" w:bottom="1185" w:left="1247" w:header="567" w:footer="567" w:gutter="0"/>
          <w:titlePg/>
          <w:docGrid w:linePitch="360"/>
          <w:cols w:num="2" w:space="453"/>
        </w:sectPr>
      </w:pPr>
    </w:p>
    <w:p>
      <w:pPr>
        <w:pStyle w:val="Heading2"/>
      </w:pPr>
      <w:r>
        <w:t>Upcoming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16"/>
        <w:gridCol w:w="4706"/>
        <w:gridCol w:w="2689"/>
      </w:tblGrid>
      <w:tr>
        <w:trPr>
          <w:tblHeader/>
        </w:trPr>
        <w:tc>
          <w:tcPr>
            <w:tcW w:type="dxa" w:w="201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Date</w:t>
            </w:r>
          </w:p>
        </w:tc>
        <w:tc>
          <w:tcPr>
            <w:tcW w:type="dxa" w:w="470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Event</w:t>
            </w:r>
          </w:p>
        </w:tc>
        <w:tc>
          <w:tcPr>
            <w:tcW w:type="dxa" w:w="2689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Where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Aug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Online selling workshops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Six villages</w:t>
            </w:r>
          </w:p>
        </w:tc>
      </w:tr>
      <w:tr>
        <w:tc>
          <w:tcPr>
            <w:tcW w:type="dxa" w:w="2017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Sep</w:t>
            </w:r>
          </w:p>
        </w:tc>
        <w:tc>
          <w:tcPr>
            <w:tcW w:type="dxa" w:w="470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Mid-term review with partners</w:t>
            </w:r>
          </w:p>
        </w:tc>
        <w:tc>
          <w:tcPr>
            <w:tcW w:type="dxa" w:w="2689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Foundation office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Oct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Women entrepreneurs’ fair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District headquarters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8E7EC"/>
            <w:tcBorders>
              <w:left w:val="single" w:sz="36" w:space="0" w:color="BE123C"/>
            </w:tcBorders>
          </w:tcPr>
          <w:p>
            <w:pPr>
              <w:spacing w:after="60"/>
            </w:pPr>
            <w:r>
              <w:rPr>
                <w:b/>
                <w:color w:val="BE123C"/>
              </w:rPr>
              <w:t>Notices</w:t>
            </w:r>
          </w:p>
          <w:p>
            <w:pPr>
              <w:spacing w:after="0"/>
            </w:pPr>
            <w:r>
              <w:t>Volunteer applications are open for the next quarter.</w:t>
            </w:r>
          </w:p>
        </w:tc>
      </w:tr>
    </w:tbl>
    <w:p>
      <w:pPr>
        <w:spacing w:after="40"/>
      </w:pPr>
    </w:p>
    <w:p>
      <w:pPr>
        <w:pStyle w:val="Caption"/>
        <w:spacing w:before="160"/>
        <w:jc w:val="center"/>
      </w:pPr>
      <w:r>
        <w:t>Sahyog Foundation · Registered non-profit · hello@yourngo.org</w:t>
      </w:r>
    </w:p>
    <w:sectPr w:rsidR="00FC693F" w:rsidRPr="0006063C" w:rsidSect="00034616">
      <w:type w:val="continuous"/>
      <w:pgSz w:w="11906" w:h="16838"/>
      <w:pgMar w:top="1185" w:right="1247" w:bottom="1185" w:left="1247" w:header="567" w:footer="567" w:gutter="0"/>
      <w:titlePg/>
      <w:docGrid w:linePitch="360"/>
      <w:cols w:num="1" w:space="4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F7581"/>
        <w:sz w:val="18"/>
      </w:rPr>
      <w:t xml:space="preserve">Page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CCED2"/>
      </w:pBdr>
    </w:pPr>
    <w:r/>
    <w:r>
      <w:rPr>
        <w:caps/>
        <w:color w:val="6F7581"/>
        <w:sz w:val="17"/>
      </w:rPr>
      <w:t>Sahyog Stories</w:t>
    </w:r>
    <w:r>
      <w:rPr>
        <w:color w:val="6F7581"/>
        <w:sz w:val="17"/>
      </w:rPr>
      <w:tab/>
      <w:t>Quarterly Update · Q2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Source Sans 3" w:hAnsi="Source Sans 3" w:cs="Source Sans 3" w:eastAsia="Source Sans 3"/>
      <w:color w:val="172033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ageBreakBefore w:val="0"/>
      <w:pBdr>
        <w:bottom w:val="single" w:sz="8" w:space="6" w:color="BE123C"/>
      </w:pBdr>
    </w:pPr>
    <w:rPr>
      <w:rFonts w:ascii="Libre Baskerville" w:hAnsi="Libre Baskerville" w:cs="Libre Baskerville" w:eastAsia="Libre Baskerville"/>
      <w:b/>
      <w:bCs/>
      <w:i w:val="0"/>
      <w:caps/>
      <w:color w:val="172033"/>
      <w:sz w:val="48"/>
      <w:szCs w:val="48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Libre Baskerville" w:hAnsi="Libre Baskerville" w:cs="Libre Baskerville" w:eastAsia="Libre Baskerville"/>
      <w:b/>
      <w:bCs/>
      <w:i w:val="0"/>
      <w:color w:val="172033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Libre Baskerville" w:hAnsi="Libre Baskerville" w:cs="Libre Baskerville" w:eastAsia="Libre Baskerville"/>
      <w:b/>
      <w:bCs/>
      <w:i w:val="0"/>
      <w:color w:val="17203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Libre Baskerville" w:hAnsi="Libre Baskerville" w:cs="Libre Baskerville" w:eastAsia="Libre Baskerville"/>
      <w:b/>
      <w:color w:val="172033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Source Sans 3" w:hAnsi="Source Sans 3" w:cs="Source Sans 3" w:eastAsia="Source Sans 3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Libre Baskerville" w:hAnsi="Libre Baskerville" w:cs="Libre Baskerville" w:eastAsia="Libre Baskerville"/>
      <w:i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Sans 3" w:hAnsi="Source Sans 3" w:cs="Source Sans 3" w:eastAsia="Source Sans 3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Libre Baskerville" w:hAnsi="Libre Baskerville" w:cs="Libre Baskerville" w:eastAsia="Libre Baskerville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Source Sans 3" w:hAnsi="Source Sans 3" w:cs="Source Sans 3" w:eastAsia="Source Sans 3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