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412" w:type="dxa"/>
        <w:tblLayout w:type="fixed"/>
        <w:tblBorders>
          <w:top w:val="thinThickThinMediumGap" w:sz="24" w:space="0" w:color="9A3412"/>
          <w:left w:val="thinThickThinMediumGap" w:sz="24" w:space="0" w:color="9A3412"/>
          <w:bottom w:val="thinThickThinMediumGap" w:sz="24" w:space="0" w:color="9A3412"/>
          <w:right w:val="thinThickThinMediumGap" w:sz="24" w:space="0" w:color="9A3412"/>
        </w:tblBorders>
        <w:tblCellMar>
          <w:top w:w="360" w:type="dxa"/>
          <w:left w:w="500" w:type="dxa"/>
          <w:bottom w:w="300" w:type="dxa"/>
          <w:right w:w="500" w:type="dxa"/>
        </w:tblCellMar>
      </w:tblPr>
      <w:tblGrid>
        <w:gridCol w:w="9412"/>
      </w:tblGrid>
      <w:tr>
        <w:trPr>
          <w:trHeight w:val="14071" w:hRule="exact"/>
        </w:trPr>
        <w:tc>
          <w:tcPr>
            <w:tcW w:type="dxa" w:w="9411"/>
          </w:tcPr>
          <w:p>
            <w:pPr>
              <w:spacing w:after="200"/>
              <w:jc w:val="center"/>
            </w:pPr>
            <w:r>
              <w:rPr>
                <w:b/>
                <w:i w:val="0"/>
                <w:color w:val="72706F"/>
                <w:sz w:val="22"/>
              </w:rPr>
              <w:t>A PRACTICAL FILE ON</w:t>
            </w:r>
          </w:p>
          <w:p>
            <w:pPr>
              <w:pStyle w:val="Title"/>
              <w:jc w:val="center"/>
            </w:pPr>
            <w:r>
              <w:rPr>
                <w:color w:val="9A3412"/>
                <w:sz w:val="56"/>
              </w:rPr>
              <w:t>Chemistry Practical File</w:t>
            </w:r>
          </w:p>
          <w:p>
            <w:pPr>
              <w:spacing w:after="280"/>
              <w:jc w:val="center"/>
            </w:pPr>
            <w:r>
              <w:rPr>
                <w:b w:val="0"/>
                <w:i/>
                <w:color w:val="1C1917"/>
                <w:sz w:val="24"/>
              </w:rPr>
              <w:t>Class XII · CBSE practical record</w:t>
            </w:r>
          </w:p>
          <w:p>
            <w:pPr>
              <w:spacing w:after="80"/>
              <w:jc w:val="center"/>
            </w:pPr>
            <w:r>
              <w:rPr>
                <w:b w:val="0"/>
                <w:i w:val="0"/>
                <w:color w:val="72706F"/>
                <w:sz w:val="21"/>
              </w:rPr>
              <w:t>Submitted in partial fulfilment of the practical examination requirements</w:t>
            </w:r>
          </w:p>
          <w:p>
            <w:pPr>
              <w:spacing w:after="40"/>
              <w:jc w:val="center"/>
            </w:pPr>
            <w:r>
              <w:rPr>
                <w:b/>
                <w:i w:val="0"/>
                <w:color w:val="1C1917"/>
                <w:sz w:val="26"/>
              </w:rPr>
              <w:t>CLASS XII (CBSE)</w:t>
            </w:r>
          </w:p>
          <w:p>
            <w:pPr>
              <w:spacing w:after="40"/>
              <w:jc w:val="center"/>
            </w:pPr>
            <w:r>
              <w:rPr>
                <w:b w:val="0"/>
                <w:i/>
                <w:color w:val="72706F"/>
                <w:sz w:val="21"/>
              </w:rPr>
              <w:t>in</w:t>
            </w:r>
          </w:p>
          <w:p>
            <w:pPr>
              <w:spacing w:after="280"/>
              <w:jc w:val="center"/>
            </w:pPr>
            <w:r>
              <w:rPr>
                <w:b/>
                <w:i w:val="0"/>
                <w:color w:val="1C1917"/>
                <w:sz w:val="24"/>
              </w:rPr>
              <w:t>Class XII – B</w:t>
            </w:r>
          </w:p>
          <w:tbl>
            <w:tblPr>
              <w:jc w:val="center"/>
              <w:tblLayout w:type="fixed"/>
              <w:tblLook w:firstColumn="1" w:firstRow="1" w:lastColumn="0" w:lastRow="0" w:noHBand="0" w:noVBand="1" w:val="04A0"/>
              <w:tblW w:w="1462" w:type="dxa"/>
              <w:tblLayout w:type="fixed"/>
              <w:tblCellMar>
                <w:top w:w="289" w:type="dxa"/>
                <w:left w:w="289" w:type="dxa"/>
                <w:bottom w:w="0" w:type="dxa"/>
                <w:right w:w="0" w:type="dxa"/>
              </w:tblCellMar>
              <w:tblBorders>
                <w:top w:val="thinThickThinMediumGap" w:sz="24" w:space="0" w:color="9A3412"/>
                <w:left w:val="thinThickThinMediumGap" w:sz="24" w:space="0" w:color="9A3412"/>
                <w:bottom w:val="thinThickThinMediumGap" w:sz="24" w:space="0" w:color="9A3412"/>
                <w:right w:val="thinThickThinMediumGap" w:sz="24" w:space="0" w:color="9A3412"/>
              </w:tblBorders>
            </w:tblPr>
            <w:tblGrid>
              <w:gridCol w:w="1462"/>
            </w:tblGrid>
            <w:tr>
              <w:trPr>
                <w:trHeight w:val="1463" w:hRule="exact"/>
              </w:trPr>
              <w:tc>
                <w:tcPr>
                  <w:tcW w:type="dxa" w:w="1463"/>
                  <w:shd w:val="clear" w:color="auto" w:fill="F5EBE7"/>
                </w:tcPr>
                <w:tbl>
                  <w:tblPr>
                    <w:jc w:val="left"/>
                    <w:tblLayout w:type="fixed"/>
                    <w:tblLook w:firstColumn="1" w:firstRow="1" w:lastColumn="0" w:lastRow="0" w:noHBand="0" w:noVBand="1" w:val="04A0"/>
                    <w:tblW w:w="884" w:type="dxa"/>
                    <w:tblLayout w:type="fixed"/>
                    <w:tblCellMar>
                      <w:top w:w="255" w:type="dxa"/>
                      <w:left w:w="255" w:type="dxa"/>
                      <w:bottom w:w="0" w:type="dxa"/>
                      <w:right w:w="0" w:type="dxa"/>
                    </w:tblCellMar>
                    <w:tblBorders>
                      <w:top w:val="single" w:sz="8" w:space="0" w:color="9A3412"/>
                      <w:left w:val="single" w:sz="8" w:space="0" w:color="9A3412"/>
                      <w:bottom w:val="single" w:sz="8" w:space="0" w:color="9A3412"/>
                      <w:right w:val="single" w:sz="8" w:space="0" w:color="9A3412"/>
                    </w:tblBorders>
                  </w:tblPr>
                  <w:tblGrid>
                    <w:gridCol w:w="884"/>
                  </w:tblGrid>
                  <w:tr>
                    <w:trPr>
                      <w:trHeight w:val="884" w:hRule="exact"/>
                    </w:trPr>
                    <w:tc>
                      <w:tcPr>
                        <w:tcW w:type="dxa" w:w="884"/>
                        <w:shd w:val="clear" w:color="auto" w:fill="E9D2CB"/>
                      </w:tcPr>
                      <w:tbl>
                        <w:tblPr>
                          <w:jc w:val="left"/>
                          <w:tblLayout w:type="fixed"/>
                          <w:tblLook w:firstColumn="1" w:firstRow="1" w:lastColumn="0" w:lastRow="0" w:noHBand="0" w:noVBand="1" w:val="04A0"/>
                          <w:tblW w:w="374" w:type="dxa"/>
                          <w:tblLayout w:type="fixed"/>
                          <w:tblCellMar>
                            <w:top w:w="0" w:type="dxa"/>
                            <w:left w:w="0" w:type="dxa"/>
                            <w:bottom w:w="0" w:type="dxa"/>
                            <w:right w:w="0" w:type="dxa"/>
                          </w:tblCellMar>
                          <w:tblBorders>
                            <w:top w:val="nil"/>
                            <w:left w:val="nil"/>
                            <w:bottom w:val="nil"/>
                            <w:right w:val="nil"/>
                          </w:tblBorders>
                        </w:tblPr>
                        <w:tblGrid>
                          <w:gridCol w:w="374"/>
                        </w:tblGrid>
                        <w:tr>
                          <w:trPr>
                            <w:trHeight w:val="374" w:hRule="exact"/>
                          </w:trPr>
                          <w:tc>
                            <w:tcPr>
                              <w:tcW w:type="dxa" w:w="374"/>
                              <w:shd w:val="clear" w:color="auto" w:fill="9A3412"/>
                            </w:tcPr>
                            <w:p>
                              <w:pPr>
                                <w:spacing w:after="0" w:before="0" w:line="20" w:lineRule="exact"/>
                              </w:pPr>
                            </w:p>
                          </w:tc>
                        </w:tr>
                      </w:tbl>
                      <w:p/>
                      <w:p>
                        <w:pPr>
                          <w:spacing w:after="0" w:line="20" w:lineRule="exact"/>
                        </w:pPr>
                      </w:p>
                    </w:tc>
                  </w:tr>
                </w:tbl>
                <w:p/>
                <w:p>
                  <w:pPr>
                    <w:spacing w:after="0" w:line="20" w:lineRule="exact"/>
                  </w:pPr>
                </w:p>
              </w:tc>
            </w:tr>
          </w:tbl>
          <w:p/>
          <w:p>
            <w:pPr>
              <w:spacing w:after="120"/>
              <w:jc w:val="center"/>
            </w:pPr>
            <w:r>
              <w:rPr>
                <w:b w:val="0"/>
                <w:i w:val="0"/>
                <w:color w:val="1C1917"/>
                <w:sz w:val="12"/>
              </w:rPr>
            </w:r>
          </w:p>
          <w:tbl>
            <w:tblPr>
              <w:tblLayout w:type="fixed"/>
              <w:tblLook w:firstColumn="1" w:firstRow="1" w:lastColumn="0" w:lastRow="0" w:noHBand="0" w:noVBand="1" w:val="04A0"/>
              <w:tblW w:w="8278" w:type="dxa"/>
              <w:tblLayout w:type="fixed"/>
              <w:jc w:val="center"/>
              <w:tblBorders>
                <w:top w:val="nil"/>
                <w:left w:val="nil"/>
                <w:bottom w:val="nil"/>
                <w:right w:val="nil"/>
                <w:insideH w:val="nil"/>
                <w:insideV w:val="nil"/>
              </w:tblBorders>
            </w:tblPr>
            <w:tblGrid>
              <w:gridCol w:w="4139"/>
              <w:gridCol w:w="4139"/>
            </w:tblGrid>
            <w:tr>
              <w:tc>
                <w:tcPr>
                  <w:tcW w:type="dxa" w:w="4139"/>
                </w:tcPr>
                <w:p>
                  <w:pPr>
                    <w:jc w:val="center"/>
                  </w:pPr>
                  <w:r>
                    <w:rPr>
                      <w:b/>
                      <w:i w:val="0"/>
                      <w:caps/>
                      <w:color w:val="72706F"/>
                      <w:sz w:val="19"/>
                      <w:spacing w:val="20"/>
                    </w:rPr>
                    <w:t>Submitted by</w:t>
                  </w:r>
                </w:p>
                <w:p>
                  <w:pPr>
                    <w:spacing w:after="0"/>
                    <w:jc w:val="center"/>
                  </w:pPr>
                  <w:r>
                    <w:rPr>
                      <w:b/>
                      <w:i w:val="0"/>
                      <w:color w:val="1C1917"/>
                      <w:sz w:val="22"/>
                    </w:rPr>
                    <w:t>Ananya Gupta</w:t>
                  </w:r>
                </w:p>
                <w:p>
                  <w:pPr>
                    <w:spacing w:after="0"/>
                    <w:jc w:val="center"/>
                  </w:pPr>
                  <w:r>
                    <w:rPr>
                      <w:b/>
                      <w:i w:val="0"/>
                      <w:color w:val="1C1917"/>
                      <w:sz w:val="22"/>
                    </w:rPr>
                    <w:t>Roll No. 12B14</w:t>
                  </w:r>
                </w:p>
              </w:tc>
              <w:tc>
                <w:tcPr>
                  <w:tcW w:type="dxa" w:w="4139"/>
                </w:tcPr>
                <w:p>
                  <w:pPr>
                    <w:jc w:val="center"/>
                  </w:pPr>
                  <w:r>
                    <w:rPr>
                      <w:b/>
                      <w:i w:val="0"/>
                      <w:caps/>
                      <w:color w:val="72706F"/>
                      <w:sz w:val="19"/>
                      <w:spacing w:val="20"/>
                    </w:rPr>
                    <w:t>Class</w:t>
                  </w:r>
                </w:p>
                <w:p>
                  <w:pPr>
                    <w:spacing w:after="0"/>
                    <w:jc w:val="center"/>
                  </w:pPr>
                  <w:r>
                    <w:rPr>
                      <w:b/>
                      <w:i w:val="0"/>
                      <w:color w:val="1C1917"/>
                      <w:sz w:val="22"/>
                    </w:rPr>
                    <w:t>Class XII – B</w:t>
                  </w:r>
                </w:p>
              </w:tc>
            </w:tr>
          </w:tbl>
          <w:p/>
          <w:p>
            <w:pPr>
              <w:spacing w:after="200"/>
              <w:jc w:val="center"/>
            </w:pPr>
            <w:r>
              <w:rPr>
                <w:b w:val="0"/>
                <w:i w:val="0"/>
                <w:color w:val="1C1917"/>
                <w:sz w:val="12"/>
              </w:rPr>
            </w:r>
          </w:p>
          <w:p>
            <w:pPr>
              <w:spacing w:after="40"/>
              <w:jc w:val="center"/>
            </w:pPr>
            <w:r>
              <w:rPr>
                <w:b/>
                <w:i w:val="0"/>
                <w:color w:val="1C1917"/>
                <w:sz w:val="22"/>
              </w:rPr>
              <w:t>Department of Chemistry</w:t>
            </w:r>
          </w:p>
          <w:p>
            <w:pPr>
              <w:spacing w:after="40"/>
              <w:jc w:val="center"/>
            </w:pPr>
            <w:r>
              <w:rPr>
                <w:b/>
                <w:i w:val="0"/>
                <w:caps/>
                <w:color w:val="9A3412"/>
                <w:sz w:val="26"/>
              </w:rPr>
              <w:t>Greenfield Senior Secondary School, Lucknow</w:t>
            </w:r>
          </w:p>
          <w:p>
            <w:pPr>
              <w:spacing w:after="0"/>
              <w:jc w:val="center"/>
            </w:pPr>
            <w:r>
              <w:rPr>
                <w:b w:val="0"/>
                <w:i w:val="0"/>
                <w:color w:val="72706F"/>
                <w:sz w:val="21"/>
              </w:rPr>
              <w:t>Session 2025–26</w:t>
            </w:r>
          </w:p>
        </w:tc>
      </w:tr>
    </w:tbl>
    <w:p>
      <w:pPr>
        <w:spacing w:after="0" w:before="0" w:line="20" w:lineRule="exact"/>
      </w:pPr>
      <w:r>
        <w:rPr>
          <w:sz w:val="2"/>
        </w:rPr>
        <w:br w:type="page"/>
      </w:r>
    </w:p>
    <w:tbl>
      <w:tblPr>
        <w:tblLayout w:type="fixed"/>
        <w:tblLook w:firstColumn="1" w:firstRow="1" w:lastColumn="0" w:lastRow="0" w:noHBand="0" w:noVBand="1" w:val="04A0"/>
        <w:tblW w:w="9412" w:type="dxa"/>
        <w:tblLayout w:type="fixed"/>
        <w:tblBorders>
          <w:top w:val="thinThickSmallGap" w:sz="18" w:space="0" w:color="9A3412"/>
          <w:left w:val="thinThickSmallGap" w:sz="18" w:space="0" w:color="9A3412"/>
          <w:bottom w:val="thinThickSmallGap" w:sz="18" w:space="0" w:color="9A3412"/>
          <w:right w:val="thinThickSmallGap" w:sz="18" w:space="0" w:color="9A3412"/>
        </w:tblBorders>
        <w:tblCellMar>
          <w:top w:w="500" w:type="dxa"/>
          <w:left w:w="500" w:type="dxa"/>
          <w:bottom w:w="400" w:type="dxa"/>
          <w:right w:w="500" w:type="dxa"/>
        </w:tblCellMar>
      </w:tblPr>
      <w:tblGrid>
        <w:gridCol w:w="9412"/>
      </w:tblGrid>
      <w:tr>
        <w:trPr>
          <w:trHeight w:val="13788" w:hRule="exact"/>
        </w:trPr>
        <w:tc>
          <w:tcPr>
            <w:tcW w:type="dxa" w:w="9411"/>
          </w:tcPr>
          <w:p>
            <w:pPr>
              <w:spacing w:after="600"/>
              <w:jc w:val="center"/>
            </w:pPr>
            <w:r>
              <w:rPr>
                <w:rFonts w:ascii="Outfit" w:hAnsi="Outfit" w:cs="Outfit" w:eastAsia="Outfit"/>
                <w:b/>
                <w:color w:val="9A3412"/>
                <w:sz w:val="44"/>
              </w:rPr>
              <w:t>CERTIFICATE</w:t>
            </w:r>
          </w:p>
          <w:p>
            <w:pPr>
              <w:spacing w:after="240" w:line="360" w:lineRule="auto"/>
              <w:jc w:val="both"/>
            </w:pPr>
            <w:r>
              <w:t>This is to certify that Ananya Gupta, a student of Class XII – B, has satisfactorily completed the practical work in Chemistry prescribed by the Central Board of Secondary Education (CBSE) during the academic session 2025–26.</w:t>
            </w:r>
          </w:p>
          <w:p>
            <w:pPr>
              <w:spacing w:after="240" w:line="360" w:lineRule="auto"/>
              <w:jc w:val="both"/>
            </w:pPr>
            <w:r>
              <w:t>The experiments recorded in this file were performed by the student in the laboratory under my supervision, and the observations and results are the student's own.</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137"/>
              <w:gridCol w:w="3137"/>
              <w:gridCol w:w="3137"/>
            </w:tblGrid>
            <w:tr>
              <w:tc>
                <w:tcPr>
                  <w:tcW w:type="dxa" w:w="3137"/>
                </w:tcPr>
                <w:p>
                  <w:pPr>
                    <w:jc w:val="center"/>
                  </w:pPr>
                  <w:r>
                    <w:t>______________________</w:t>
                  </w:r>
                </w:p>
              </w:tc>
              <w:tc>
                <w:tcPr>
                  <w:tcW w:type="dxa" w:w="3137"/>
                </w:tcPr>
                <w:p>
                  <w:pPr>
                    <w:jc w:val="center"/>
                  </w:pPr>
                  <w:r>
                    <w:t>______________________</w:t>
                  </w:r>
                </w:p>
              </w:tc>
              <w:tc>
                <w:tcPr>
                  <w:tcW w:type="dxa" w:w="3137"/>
                </w:tcPr>
                <w:p>
                  <w:pPr>
                    <w:jc w:val="center"/>
                  </w:pPr>
                  <w:r>
                    <w:t>______________________</w:t>
                  </w:r>
                </w:p>
              </w:tc>
            </w:tr>
            <w:tr>
              <w:tc>
                <w:tcPr>
                  <w:tcW w:type="dxa" w:w="3137"/>
                </w:tcPr>
                <w:p>
                  <w:pPr>
                    <w:jc w:val="center"/>
                  </w:pPr>
                  <w:r>
                    <w:rPr>
                      <w:b/>
                    </w:rPr>
                    <w:t>Mrs. Sunita Verma</w:t>
                    <w:br/>
                  </w:r>
                  <w:r>
                    <w:rPr>
                      <w:color w:val="72706F"/>
                    </w:rPr>
                    <w:t>Subject Teacher</w:t>
                  </w:r>
                </w:p>
              </w:tc>
              <w:tc>
                <w:tcPr>
                  <w:tcW w:type="dxa" w:w="3137"/>
                </w:tcPr>
                <w:p>
                  <w:pPr>
                    <w:jc w:val="center"/>
                  </w:pPr>
                  <w:r>
                    <w:rPr>
                      <w:b/>
                    </w:rPr>
                    <w:t>External Examiner</w:t>
                    <w:br/>
                  </w:r>
                  <w:r>
                    <w:rPr>
                      <w:color w:val="72706F"/>
                    </w:rPr>
                    <w:t>Date: __________</w:t>
                  </w:r>
                </w:p>
              </w:tc>
              <w:tc>
                <w:tcPr>
                  <w:tcW w:type="dxa" w:w="3137"/>
                </w:tcPr>
                <w:p>
                  <w:pPr>
                    <w:jc w:val="center"/>
                  </w:pPr>
                  <w:r>
                    <w:rPr>
                      <w:b/>
                    </w:rPr>
                    <w:t>Mr. R. P. Singh</w:t>
                    <w:br/>
                  </w:r>
                  <w:r>
                    <w:rPr>
                      <w:color w:val="72706F"/>
                    </w:rPr>
                    <w:t>Principal</w:t>
                  </w:r>
                </w:p>
              </w:tc>
            </w:tr>
          </w:tbl>
          <w:p/>
        </w:tc>
      </w:tr>
    </w:tbl>
    <w:p>
      <w:pPr>
        <w:spacing w:after="0" w:line="20" w:lineRule="exact"/>
      </w:pPr>
      <w:r>
        <w:rPr>
          <w:sz w:val="2"/>
        </w:rPr>
        <w:br w:type="page"/>
      </w:r>
    </w:p>
    <w:p>
      <w:pPr>
        <w:pStyle w:val="Heading1"/>
      </w:pPr>
      <w:r>
        <w:t>Acknowledgement</w:t>
      </w:r>
    </w:p>
    <w:p>
      <w:pPr>
        <w:jc w:val="both"/>
      </w:pPr>
      <w:r>
        <w:t>I would like to express my sincere gratitude to my subject teacher, Mrs. Sunita Verma, for guidance and encouragement throughout the practical sessions, and for patiently clearing my doubts in the laboratory.</w:t>
      </w:r>
    </w:p>
    <w:p>
      <w:pPr>
        <w:jc w:val="both"/>
      </w:pPr>
      <w:r>
        <w:t>I am also thankful to Mr. R. P. Singh, Principal, for providing a well-equipped laboratory, and to the laboratory staff for their help in arranging the apparatus for every experiment.</w:t>
      </w:r>
    </w:p>
    <w:p>
      <w:pPr>
        <w:jc w:val="both"/>
      </w:pPr>
      <w:r>
        <w:t>Finally, I thank my parents and classmates for their constant support while I completed this practical file.</w:t>
      </w:r>
    </w:p>
    <w:p>
      <w:pPr>
        <w:spacing w:before="600"/>
        <w:jc w:val="right"/>
      </w:pPr>
      <w:r>
        <w:rPr>
          <w:b/>
        </w:rPr>
        <w:t>Ananya Gupta</w:t>
      </w:r>
    </w:p>
    <w:p>
      <w:pPr>
        <w:pStyle w:val="Heading1"/>
      </w:pPr>
      <w:r>
        <w:t>Index</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750"/>
        <w:gridCol w:w="4619"/>
        <w:gridCol w:w="1385"/>
        <w:gridCol w:w="1154"/>
        <w:gridCol w:w="1501"/>
      </w:tblGrid>
      <w:tr>
        <w:trPr>
          <w:tblHeader/>
        </w:trPr>
        <w:tc>
          <w:tcPr>
            <w:tcW w:type="dxa" w:w="751"/>
            <w:vAlign w:val="center"/>
            <w:shd w:val="clear" w:color="auto" w:fill="1C1917"/>
          </w:tcPr>
          <w:p>
            <w:pPr>
              <w:spacing w:after="0"/>
              <w:jc w:val="center"/>
            </w:pPr>
            <w:r/>
            <w:r>
              <w:rPr>
                <w:b/>
                <w:color w:val="FFFFFF"/>
                <w:sz w:val="20"/>
              </w:rPr>
              <w:t>S. No.</w:t>
            </w:r>
          </w:p>
        </w:tc>
        <w:tc>
          <w:tcPr>
            <w:tcW w:type="dxa" w:w="4619"/>
            <w:vAlign w:val="center"/>
            <w:shd w:val="clear" w:color="auto" w:fill="1C1917"/>
          </w:tcPr>
          <w:p>
            <w:pPr>
              <w:spacing w:after="0"/>
              <w:jc w:val="left"/>
            </w:pPr>
            <w:r/>
            <w:r>
              <w:rPr>
                <w:b/>
                <w:color w:val="FFFFFF"/>
                <w:sz w:val="20"/>
              </w:rPr>
              <w:t>Name of the Experiment</w:t>
            </w:r>
          </w:p>
        </w:tc>
        <w:tc>
          <w:tcPr>
            <w:tcW w:type="dxa" w:w="1386"/>
            <w:vAlign w:val="center"/>
            <w:shd w:val="clear" w:color="auto" w:fill="1C1917"/>
          </w:tcPr>
          <w:p>
            <w:pPr>
              <w:spacing w:after="0"/>
              <w:jc w:val="center"/>
            </w:pPr>
            <w:r/>
            <w:r>
              <w:rPr>
                <w:b/>
                <w:color w:val="FFFFFF"/>
                <w:sz w:val="20"/>
              </w:rPr>
              <w:t>Date</w:t>
            </w:r>
          </w:p>
        </w:tc>
        <w:tc>
          <w:tcPr>
            <w:tcW w:type="dxa" w:w="1155"/>
            <w:vAlign w:val="center"/>
            <w:shd w:val="clear" w:color="auto" w:fill="1C1917"/>
          </w:tcPr>
          <w:p>
            <w:pPr>
              <w:spacing w:after="0"/>
              <w:jc w:val="center"/>
            </w:pPr>
            <w:r/>
            <w:r>
              <w:rPr>
                <w:b/>
                <w:color w:val="FFFFFF"/>
                <w:sz w:val="20"/>
              </w:rPr>
              <w:t>Remarks</w:t>
            </w:r>
          </w:p>
        </w:tc>
        <w:tc>
          <w:tcPr>
            <w:tcW w:type="dxa" w:w="1501"/>
            <w:vAlign w:val="center"/>
            <w:shd w:val="clear" w:color="auto" w:fill="1C1917"/>
          </w:tcPr>
          <w:p>
            <w:pPr>
              <w:spacing w:after="0"/>
              <w:jc w:val="center"/>
            </w:pPr>
            <w:r/>
            <w:r>
              <w:rPr>
                <w:b/>
                <w:color w:val="FFFFFF"/>
                <w:sz w:val="20"/>
              </w:rPr>
              <w:t>Teacher's Sign</w:t>
            </w:r>
          </w:p>
        </w:tc>
      </w:tr>
      <w:tr>
        <w:tc>
          <w:tcPr>
            <w:tcW w:type="dxa" w:w="751"/>
            <w:vAlign w:val="center"/>
          </w:tcPr>
          <w:p>
            <w:pPr>
              <w:spacing w:after="0"/>
              <w:jc w:val="center"/>
            </w:pPr>
            <w:r/>
            <w:r>
              <w:rPr>
                <w:sz w:val="20"/>
              </w:rPr>
              <w:t>1</w:t>
            </w:r>
          </w:p>
        </w:tc>
        <w:tc>
          <w:tcPr>
            <w:tcW w:type="dxa" w:w="4619"/>
            <w:vAlign w:val="center"/>
          </w:tcPr>
          <w:p>
            <w:pPr>
              <w:spacing w:after="0"/>
              <w:jc w:val="left"/>
            </w:pPr>
            <w:r/>
            <w:r>
              <w:rPr>
                <w:sz w:val="20"/>
              </w:rPr>
              <w:t>Titration of KMnO₄ against oxalic acid</w:t>
            </w:r>
          </w:p>
        </w:tc>
        <w:tc>
          <w:tcPr>
            <w:tcW w:type="dxa" w:w="1386"/>
            <w:vAlign w:val="center"/>
          </w:tcPr>
          <w:p>
            <w:pPr>
              <w:spacing w:after="0"/>
              <w:jc w:val="center"/>
            </w:pPr>
            <w:r/>
            <w:r>
              <w:rPr>
                <w:sz w:val="20"/>
              </w:rPr>
              <w:t>08 Jul 2025</w:t>
            </w:r>
          </w:p>
        </w:tc>
        <w:tc>
          <w:tcPr>
            <w:tcW w:type="dxa" w:w="1155"/>
            <w:vAlign w:val="center"/>
          </w:tcPr>
          <w:p>
            <w:pPr>
              <w:spacing w:after="0"/>
              <w:jc w:val="center"/>
            </w:pPr>
            <w:r/>
            <w:r>
              <w:rPr>
                <w:sz w:val="20"/>
              </w:rPr>
            </w:r>
          </w:p>
        </w:tc>
        <w:tc>
          <w:tcPr>
            <w:tcW w:type="dxa" w:w="1501"/>
            <w:vAlign w:val="center"/>
          </w:tcPr>
          <w:p>
            <w:pPr>
              <w:spacing w:after="0"/>
              <w:jc w:val="center"/>
            </w:pPr>
            <w:r/>
            <w:r>
              <w:rPr>
                <w:sz w:val="20"/>
              </w:rPr>
            </w:r>
          </w:p>
        </w:tc>
      </w:tr>
      <w:tr>
        <w:tc>
          <w:tcPr>
            <w:tcW w:type="dxa" w:w="751"/>
            <w:vAlign w:val="center"/>
          </w:tcPr>
          <w:p>
            <w:pPr>
              <w:spacing w:after="0"/>
              <w:jc w:val="center"/>
            </w:pPr>
            <w:r/>
            <w:r>
              <w:rPr>
                <w:sz w:val="20"/>
              </w:rPr>
              <w:t>2</w:t>
            </w:r>
          </w:p>
        </w:tc>
        <w:tc>
          <w:tcPr>
            <w:tcW w:type="dxa" w:w="4619"/>
            <w:vAlign w:val="center"/>
          </w:tcPr>
          <w:p>
            <w:pPr>
              <w:spacing w:after="0"/>
              <w:jc w:val="left"/>
            </w:pPr>
            <w:r/>
            <w:r>
              <w:rPr>
                <w:sz w:val="20"/>
              </w:rPr>
              <w:t>Qualitative analysis of a simple salt</w:t>
            </w:r>
          </w:p>
        </w:tc>
        <w:tc>
          <w:tcPr>
            <w:tcW w:type="dxa" w:w="1386"/>
            <w:vAlign w:val="center"/>
          </w:tcPr>
          <w:p>
            <w:pPr>
              <w:spacing w:after="0"/>
              <w:jc w:val="center"/>
            </w:pPr>
            <w:r/>
            <w:r>
              <w:rPr>
                <w:sz w:val="20"/>
              </w:rPr>
              <w:t>22 Jul 2025</w:t>
            </w:r>
          </w:p>
        </w:tc>
        <w:tc>
          <w:tcPr>
            <w:tcW w:type="dxa" w:w="1155"/>
            <w:vAlign w:val="center"/>
          </w:tcPr>
          <w:p>
            <w:pPr>
              <w:spacing w:after="0"/>
              <w:jc w:val="center"/>
            </w:pPr>
            <w:r/>
            <w:r>
              <w:rPr>
                <w:sz w:val="20"/>
              </w:rPr>
            </w:r>
          </w:p>
        </w:tc>
        <w:tc>
          <w:tcPr>
            <w:tcW w:type="dxa" w:w="1501"/>
            <w:vAlign w:val="center"/>
          </w:tcPr>
          <w:p>
            <w:pPr>
              <w:spacing w:after="0"/>
              <w:jc w:val="center"/>
            </w:pPr>
            <w:r/>
            <w:r>
              <w:rPr>
                <w:sz w:val="20"/>
              </w:rPr>
            </w:r>
          </w:p>
        </w:tc>
      </w:tr>
      <w:tr>
        <w:tc>
          <w:tcPr>
            <w:tcW w:type="dxa" w:w="751"/>
            <w:vAlign w:val="center"/>
          </w:tcPr>
          <w:p>
            <w:pPr>
              <w:spacing w:after="0"/>
              <w:jc w:val="center"/>
            </w:pPr>
            <w:r/>
            <w:r>
              <w:rPr>
                <w:sz w:val="20"/>
              </w:rPr>
              <w:t>3</w:t>
            </w:r>
          </w:p>
        </w:tc>
        <w:tc>
          <w:tcPr>
            <w:tcW w:type="dxa" w:w="4619"/>
            <w:vAlign w:val="center"/>
          </w:tcPr>
          <w:p>
            <w:pPr>
              <w:spacing w:after="0"/>
              <w:jc w:val="left"/>
            </w:pPr>
            <w:r/>
            <w:r>
              <w:rPr>
                <w:sz w:val="20"/>
              </w:rPr>
              <w:t>Preparation of a lyophilic sol</w:t>
            </w:r>
          </w:p>
        </w:tc>
        <w:tc>
          <w:tcPr>
            <w:tcW w:type="dxa" w:w="1386"/>
            <w:vAlign w:val="center"/>
          </w:tcPr>
          <w:p>
            <w:pPr>
              <w:spacing w:after="0"/>
              <w:jc w:val="center"/>
            </w:pPr>
            <w:r/>
            <w:r>
              <w:rPr>
                <w:sz w:val="20"/>
              </w:rPr>
              <w:t>05 Aug 2025</w:t>
            </w:r>
          </w:p>
        </w:tc>
        <w:tc>
          <w:tcPr>
            <w:tcW w:type="dxa" w:w="1155"/>
            <w:vAlign w:val="center"/>
          </w:tcPr>
          <w:p>
            <w:pPr>
              <w:spacing w:after="0"/>
              <w:jc w:val="center"/>
            </w:pPr>
            <w:r/>
            <w:r>
              <w:rPr>
                <w:sz w:val="20"/>
              </w:rPr>
            </w:r>
          </w:p>
        </w:tc>
        <w:tc>
          <w:tcPr>
            <w:tcW w:type="dxa" w:w="1501"/>
            <w:vAlign w:val="center"/>
          </w:tcPr>
          <w:p>
            <w:pPr>
              <w:spacing w:after="0"/>
              <w:jc w:val="center"/>
            </w:pPr>
            <w:r/>
            <w:r>
              <w:rPr>
                <w:sz w:val="20"/>
              </w:rPr>
            </w:r>
          </w:p>
        </w:tc>
      </w:tr>
      <w:tr>
        <w:tc>
          <w:tcPr>
            <w:tcW w:type="dxa" w:w="751"/>
            <w:vAlign w:val="center"/>
          </w:tcPr>
          <w:p>
            <w:pPr>
              <w:spacing w:after="0"/>
              <w:jc w:val="center"/>
            </w:pPr>
            <w:r/>
            <w:r>
              <w:rPr>
                <w:sz w:val="20"/>
              </w:rPr>
              <w:t>4</w:t>
            </w:r>
          </w:p>
        </w:tc>
        <w:tc>
          <w:tcPr>
            <w:tcW w:type="dxa" w:w="4619"/>
            <w:vAlign w:val="center"/>
          </w:tcPr>
          <w:p>
            <w:pPr>
              <w:spacing w:after="0"/>
              <w:jc w:val="left"/>
            </w:pPr>
            <w:r/>
            <w:r>
              <w:rPr>
                <w:sz w:val="20"/>
              </w:rPr>
              <w:t>Paper chromatography of plant pigments</w:t>
            </w:r>
          </w:p>
        </w:tc>
        <w:tc>
          <w:tcPr>
            <w:tcW w:type="dxa" w:w="1386"/>
            <w:vAlign w:val="center"/>
          </w:tcPr>
          <w:p>
            <w:pPr>
              <w:spacing w:after="0"/>
              <w:jc w:val="center"/>
            </w:pPr>
            <w:r/>
            <w:r>
              <w:rPr>
                <w:sz w:val="20"/>
              </w:rPr>
              <w:t>19 Aug 2025</w:t>
            </w:r>
          </w:p>
        </w:tc>
        <w:tc>
          <w:tcPr>
            <w:tcW w:type="dxa" w:w="1155"/>
            <w:vAlign w:val="center"/>
          </w:tcPr>
          <w:p>
            <w:pPr>
              <w:spacing w:after="0"/>
              <w:jc w:val="center"/>
            </w:pPr>
            <w:r/>
            <w:r>
              <w:rPr>
                <w:sz w:val="20"/>
              </w:rPr>
            </w:r>
          </w:p>
        </w:tc>
        <w:tc>
          <w:tcPr>
            <w:tcW w:type="dxa" w:w="1501"/>
            <w:vAlign w:val="center"/>
          </w:tcPr>
          <w:p>
            <w:pPr>
              <w:spacing w:after="0"/>
              <w:jc w:val="center"/>
            </w:pPr>
            <w:r/>
            <w:r>
              <w:rPr>
                <w:sz w:val="20"/>
              </w:rPr>
            </w:r>
          </w:p>
        </w:tc>
      </w:tr>
      <w:tr>
        <w:tc>
          <w:tcPr>
            <w:tcW w:type="dxa" w:w="751"/>
            <w:vAlign w:val="center"/>
          </w:tcPr>
          <w:p>
            <w:pPr>
              <w:spacing w:after="0"/>
              <w:jc w:val="center"/>
            </w:pPr>
            <w:r/>
            <w:r>
              <w:rPr>
                <w:sz w:val="20"/>
              </w:rPr>
              <w:t>5</w:t>
            </w:r>
          </w:p>
        </w:tc>
        <w:tc>
          <w:tcPr>
            <w:tcW w:type="dxa" w:w="4619"/>
            <w:vAlign w:val="center"/>
          </w:tcPr>
          <w:p>
            <w:pPr>
              <w:spacing w:after="0"/>
              <w:jc w:val="left"/>
            </w:pPr>
            <w:r/>
            <w:r>
              <w:rPr>
                <w:sz w:val="20"/>
              </w:rPr>
              <w:t>Effect of concentration on reaction rate</w:t>
            </w:r>
          </w:p>
        </w:tc>
        <w:tc>
          <w:tcPr>
            <w:tcW w:type="dxa" w:w="1386"/>
            <w:vAlign w:val="center"/>
          </w:tcPr>
          <w:p>
            <w:pPr>
              <w:spacing w:after="0"/>
              <w:jc w:val="center"/>
            </w:pPr>
            <w:r/>
            <w:r>
              <w:rPr>
                <w:sz w:val="20"/>
              </w:rPr>
              <w:t>02 Sep 2025</w:t>
            </w:r>
          </w:p>
        </w:tc>
        <w:tc>
          <w:tcPr>
            <w:tcW w:type="dxa" w:w="1155"/>
            <w:vAlign w:val="center"/>
          </w:tcPr>
          <w:p>
            <w:pPr>
              <w:spacing w:after="0"/>
              <w:jc w:val="center"/>
            </w:pPr>
            <w:r/>
            <w:r>
              <w:rPr>
                <w:sz w:val="20"/>
              </w:rPr>
            </w:r>
          </w:p>
        </w:tc>
        <w:tc>
          <w:tcPr>
            <w:tcW w:type="dxa" w:w="1501"/>
            <w:vAlign w:val="center"/>
          </w:tcPr>
          <w:p>
            <w:pPr>
              <w:spacing w:after="0"/>
              <w:jc w:val="center"/>
            </w:pPr>
            <w:r/>
            <w:r>
              <w:rPr>
                <w:sz w:val="20"/>
              </w:rPr>
            </w:r>
          </w:p>
        </w:tc>
      </w:tr>
    </w:tbl>
    <w:p>
      <w:pPr>
        <w:spacing w:after="80"/>
      </w:pPr>
    </w:p>
    <w:p>
      <w:pPr>
        <w:pStyle w:val="Caption"/>
      </w:pPr>
      <w:r>
        <w:t>Write the page number of each experiment in the remarks column once the file is complete.</w:t>
      </w:r>
    </w:p>
    <w:p>
      <w:pPr>
        <w:pStyle w:val="Heading2"/>
      </w:pPr>
      <w:r>
        <w:t>Laboratory Safety Rules</w:t>
      </w:r>
    </w:p>
    <w:p>
      <w:pPr>
        <w:pStyle w:val="ListBullet"/>
      </w:pPr>
      <w:r>
        <w:t>Wear a lab coat and closed shoes</w:t>
      </w:r>
    </w:p>
    <w:p>
      <w:pPr>
        <w:pStyle w:val="ListBullet"/>
      </w:pPr>
      <w:r>
        <w:t>Never taste or smell chemicals directly</w:t>
      </w:r>
    </w:p>
    <w:p>
      <w:pPr>
        <w:pStyle w:val="ListBullet"/>
      </w:pPr>
      <w:r>
        <w:t>Report any breakage or spill to the teacher at once</w:t>
      </w:r>
    </w:p>
    <w:p>
      <w:pPr>
        <w:pStyle w:val="ListBullet"/>
      </w:pPr>
      <w:r>
        <w:t>Switch off and unplug equipment after use</w:t>
      </w:r>
    </w:p>
    <w:p>
      <w:pPr>
        <w:pStyle w:val="ListBullet"/>
      </w:pPr>
      <w:r>
        <w:t>Wash hands before leaving the laboratory</w:t>
      </w:r>
    </w:p>
    <w:p>
      <w:pPr>
        <w:pStyle w:val="Heading1"/>
      </w:pPr>
      <w:r>
        <w:t>Experiment 1: Titration of KMnO₄ against oxalic acid</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3137"/>
        <w:gridCol w:w="3137"/>
        <w:gridCol w:w="3137"/>
      </w:tblGrid>
      <w:tr>
        <w:tc>
          <w:tcPr>
            <w:tcW w:type="dxa" w:w="3137"/>
          </w:tcPr>
          <w:p>
            <w:pPr>
              <w:spacing w:after="0"/>
            </w:pPr>
            <w:r>
              <w:rPr>
                <w:b/>
                <w:color w:val="9A3412"/>
                <w:sz w:val="19"/>
              </w:rPr>
              <w:t xml:space="preserve">Date: </w:t>
            </w:r>
            <w:r>
              <w:rPr>
                <w:sz w:val="19"/>
              </w:rPr>
              <w:t>08 Jul 2025</w:t>
            </w:r>
          </w:p>
        </w:tc>
        <w:tc>
          <w:tcPr>
            <w:tcW w:type="dxa" w:w="3137"/>
          </w:tcPr>
          <w:p>
            <w:pPr>
              <w:spacing w:after="0"/>
            </w:pPr>
            <w:r>
              <w:rPr>
                <w:b/>
                <w:color w:val="9A3412"/>
                <w:sz w:val="19"/>
              </w:rPr>
              <w:t xml:space="preserve">Page No.: </w:t>
            </w:r>
            <w:r>
              <w:rPr>
                <w:sz w:val="19"/>
              </w:rPr>
              <w:t>____</w:t>
            </w:r>
          </w:p>
        </w:tc>
        <w:tc>
          <w:tcPr>
            <w:tcW w:type="dxa" w:w="3137"/>
          </w:tcPr>
          <w:p>
            <w:pPr>
              <w:spacing w:after="0"/>
            </w:pPr>
            <w:r>
              <w:rPr>
                <w:b/>
                <w:color w:val="9A3412"/>
                <w:sz w:val="19"/>
              </w:rPr>
              <w:t xml:space="preserve">Teacher's sign: </w:t>
            </w:r>
            <w:r>
              <w:rPr>
                <w:sz w:val="19"/>
              </w:rPr>
              <w:t>__________</w:t>
            </w:r>
          </w:p>
        </w:tc>
      </w:tr>
    </w:tbl>
    <w:p>
      <w:pPr>
        <w:spacing w:after="80"/>
      </w:pPr>
    </w:p>
    <w:p>
      <w:pPr>
        <w:pStyle w:val="Heading3"/>
      </w:pPr>
      <w:r>
        <w:t>Aim</w:t>
      </w:r>
    </w:p>
    <w:p>
      <w:r>
        <w:t>To prepare M/50 oxalic acid solution and use it to determine the molarity and strength of the given potassium permanganate solution.</w:t>
      </w:r>
    </w:p>
    <w:p>
      <w:pPr>
        <w:pStyle w:val="Heading3"/>
      </w:pPr>
      <w:r>
        <w:t>Apparatus / Materials Required</w:t>
      </w:r>
    </w:p>
    <w:p>
      <w:pPr>
        <w:pStyle w:val="ListBullet"/>
      </w:pPr>
      <w:r>
        <w:t>Burette, pipette (10 mL), conical flask</w:t>
      </w:r>
    </w:p>
    <w:p>
      <w:pPr>
        <w:pStyle w:val="ListBullet"/>
      </w:pPr>
      <w:r>
        <w:t>Measuring flask (250 mL), funnel, weighing bottle</w:t>
      </w:r>
    </w:p>
    <w:p>
      <w:pPr>
        <w:pStyle w:val="ListBullet"/>
      </w:pPr>
      <w:r>
        <w:t>Oxalic acid crystals, dilute H₂SO₄</w:t>
      </w:r>
    </w:p>
    <w:p>
      <w:pPr>
        <w:pStyle w:val="ListBullet"/>
      </w:pPr>
      <w:r>
        <w:t>KMnO₄ solution, burner and wire gauze</w:t>
      </w:r>
    </w:p>
    <w:p>
      <w:pPr>
        <w:pStyle w:val="Heading3"/>
      </w:pPr>
      <w:r>
        <w:t>Theory</w:t>
      </w:r>
    </w:p>
    <w:p>
      <w:pPr>
        <w:jc w:val="both"/>
      </w:pPr>
      <w:r>
        <w:t>Potassium permanganate is a strong oxidising agent in acidic medium. It oxidises oxalic acid to carbon dioxide and is itself reduced to colourless Mn²⁺ ions. KMnO₄ acts as a self-indicator: the end point is the appearance of a permanent light pink colour.</w:t>
      </w:r>
    </w:p>
    <w:p>
      <w:pPr>
        <w:spacing w:after="120" w:before="40"/>
        <w:jc w:val="center"/>
      </w:pPr>
      <w:r>
        <w:rPr>
          <w:b/>
          <w:color w:val="9A3412"/>
        </w:rPr>
        <w:t>2MnO₄⁻ + 5C₂O₄²⁻ + 16H⁺ → 2Mn²⁺ + 10CO₂ + 8H₂O</w:t>
      </w:r>
    </w:p>
    <w:p>
      <w:pPr>
        <w:spacing w:after="120" w:before="40"/>
        <w:jc w:val="center"/>
      </w:pPr>
      <w:r>
        <w:rPr>
          <w:b/>
          <w:color w:val="9A3412"/>
        </w:rPr>
        <w:t>a₁M₁V₁ = a₂M₂V₂</w:t>
      </w:r>
    </w:p>
    <w:p>
      <w:pPr>
        <w:pStyle w:val="Heading3"/>
      </w:pPr>
      <w:r>
        <w:t>Procedure</w:t>
      </w:r>
    </w:p>
    <w:p>
      <w:pPr>
        <w:pStyle w:val="ListNumber"/>
      </w:pPr>
      <w:r>
        <w:t>Weigh 0.63 g of oxalic acid and dissolve it to make 250 mL of M/50 solution.</w:t>
      </w:r>
    </w:p>
    <w:p>
      <w:pPr>
        <w:pStyle w:val="ListNumber"/>
      </w:pPr>
      <w:r>
        <w:t>Rinse and fill the burette with KMnO₄ solution and note the initial reading.</w:t>
      </w:r>
    </w:p>
    <w:p>
      <w:pPr>
        <w:pStyle w:val="ListNumber"/>
      </w:pPr>
      <w:r>
        <w:t>Pipette 10 mL of oxalic acid into a conical flask and add 10 mL of dilute H₂SO₄.</w:t>
      </w:r>
    </w:p>
    <w:p>
      <w:pPr>
        <w:pStyle w:val="ListNumber"/>
      </w:pPr>
      <w:r>
        <w:t>Warm the flask to 60–70 °C and titrate until a permanent light pink colour appears.</w:t>
      </w:r>
    </w:p>
    <w:p>
      <w:pPr>
        <w:pStyle w:val="ListNumber"/>
      </w:pPr>
      <w:r>
        <w:t>Repeat until three concordant readings are obtained.</w:t>
      </w:r>
    </w:p>
    <w:p>
      <w:pPr>
        <w:pStyle w:val="Heading3"/>
      </w:pPr>
      <w:r>
        <w:t>Observations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353"/>
        <w:gridCol w:w="2353"/>
        <w:gridCol w:w="2353"/>
        <w:gridCol w:w="2353"/>
      </w:tblGrid>
      <w:tr>
        <w:trPr>
          <w:tblHeader/>
        </w:trPr>
        <w:tc>
          <w:tcPr>
            <w:tcW w:type="dxa" w:w="2353"/>
            <w:vAlign w:val="center"/>
            <w:shd w:val="clear" w:color="auto" w:fill="1C1917"/>
          </w:tcPr>
          <w:p>
            <w:pPr>
              <w:spacing w:after="0"/>
              <w:jc w:val="center"/>
            </w:pPr>
            <w:r/>
            <w:r>
              <w:rPr>
                <w:b/>
                <w:color w:val="FFFFFF"/>
                <w:sz w:val="20"/>
              </w:rPr>
              <w:t>S. No.</w:t>
            </w:r>
          </w:p>
        </w:tc>
        <w:tc>
          <w:tcPr>
            <w:tcW w:type="dxa" w:w="2353"/>
            <w:vAlign w:val="center"/>
            <w:shd w:val="clear" w:color="auto" w:fill="1C1917"/>
          </w:tcPr>
          <w:p>
            <w:pPr>
              <w:spacing w:after="0"/>
              <w:jc w:val="center"/>
            </w:pPr>
            <w:r/>
            <w:r>
              <w:rPr>
                <w:b/>
                <w:color w:val="FFFFFF"/>
                <w:sz w:val="20"/>
              </w:rPr>
              <w:t>Initial reading (mL)</w:t>
            </w:r>
          </w:p>
        </w:tc>
        <w:tc>
          <w:tcPr>
            <w:tcW w:type="dxa" w:w="2353"/>
            <w:vAlign w:val="center"/>
            <w:shd w:val="clear" w:color="auto" w:fill="1C1917"/>
          </w:tcPr>
          <w:p>
            <w:pPr>
              <w:spacing w:after="0"/>
              <w:jc w:val="center"/>
            </w:pPr>
            <w:r/>
            <w:r>
              <w:rPr>
                <w:b/>
                <w:color w:val="FFFFFF"/>
                <w:sz w:val="20"/>
              </w:rPr>
              <w:t>Final reading (mL)</w:t>
            </w:r>
          </w:p>
        </w:tc>
        <w:tc>
          <w:tcPr>
            <w:tcW w:type="dxa" w:w="2353"/>
            <w:vAlign w:val="center"/>
            <w:shd w:val="clear" w:color="auto" w:fill="1C1917"/>
          </w:tcPr>
          <w:p>
            <w:pPr>
              <w:spacing w:after="0"/>
              <w:jc w:val="center"/>
            </w:pPr>
            <w:r/>
            <w:r>
              <w:rPr>
                <w:b/>
                <w:color w:val="FFFFFF"/>
                <w:sz w:val="20"/>
              </w:rPr>
              <w:t>Volume of KMnO₄ (mL)</w:t>
            </w:r>
          </w:p>
        </w:tc>
      </w:tr>
      <w:tr>
        <w:tc>
          <w:tcPr>
            <w:tcW w:type="dxa" w:w="2353"/>
            <w:vAlign w:val="center"/>
          </w:tcPr>
          <w:p>
            <w:pPr>
              <w:spacing w:after="0"/>
              <w:jc w:val="center"/>
            </w:pPr>
            <w:r/>
            <w:r>
              <w:rPr>
                <w:sz w:val="20"/>
              </w:rPr>
              <w:t>1</w:t>
            </w:r>
          </w:p>
        </w:tc>
        <w:tc>
          <w:tcPr>
            <w:tcW w:type="dxa" w:w="2353"/>
            <w:vAlign w:val="center"/>
          </w:tcPr>
          <w:p>
            <w:pPr>
              <w:spacing w:after="0"/>
              <w:jc w:val="center"/>
            </w:pPr>
            <w:r/>
            <w:r>
              <w:rPr>
                <w:sz w:val="20"/>
              </w:rPr>
              <w:t>0.0</w:t>
            </w:r>
          </w:p>
        </w:tc>
        <w:tc>
          <w:tcPr>
            <w:tcW w:type="dxa" w:w="2353"/>
            <w:vAlign w:val="center"/>
          </w:tcPr>
          <w:p>
            <w:pPr>
              <w:spacing w:after="0"/>
              <w:jc w:val="center"/>
            </w:pPr>
            <w:r/>
            <w:r>
              <w:rPr>
                <w:sz w:val="20"/>
              </w:rPr>
              <w:t>10.1</w:t>
            </w:r>
          </w:p>
        </w:tc>
        <w:tc>
          <w:tcPr>
            <w:tcW w:type="dxa" w:w="2353"/>
            <w:vAlign w:val="center"/>
          </w:tcPr>
          <w:p>
            <w:pPr>
              <w:spacing w:after="0"/>
              <w:jc w:val="center"/>
            </w:pPr>
            <w:r/>
            <w:r>
              <w:rPr>
                <w:sz w:val="20"/>
              </w:rPr>
              <w:t>10.1</w:t>
            </w:r>
          </w:p>
        </w:tc>
      </w:tr>
      <w:tr>
        <w:tc>
          <w:tcPr>
            <w:tcW w:type="dxa" w:w="2353"/>
            <w:vAlign w:val="center"/>
            <w:shd w:val="clear" w:color="auto" w:fill="F5EBE7"/>
          </w:tcPr>
          <w:p>
            <w:pPr>
              <w:spacing w:after="0"/>
              <w:jc w:val="center"/>
            </w:pPr>
            <w:r/>
            <w:r>
              <w:rPr>
                <w:sz w:val="20"/>
              </w:rPr>
              <w:t>2</w:t>
            </w:r>
          </w:p>
        </w:tc>
        <w:tc>
          <w:tcPr>
            <w:tcW w:type="dxa" w:w="2353"/>
            <w:vAlign w:val="center"/>
            <w:shd w:val="clear" w:color="auto" w:fill="F5EBE7"/>
          </w:tcPr>
          <w:p>
            <w:pPr>
              <w:spacing w:after="0"/>
              <w:jc w:val="center"/>
            </w:pPr>
            <w:r/>
            <w:r>
              <w:rPr>
                <w:sz w:val="20"/>
              </w:rPr>
              <w:t>10.1</w:t>
            </w:r>
          </w:p>
        </w:tc>
        <w:tc>
          <w:tcPr>
            <w:tcW w:type="dxa" w:w="2353"/>
            <w:vAlign w:val="center"/>
            <w:shd w:val="clear" w:color="auto" w:fill="F5EBE7"/>
          </w:tcPr>
          <w:p>
            <w:pPr>
              <w:spacing w:after="0"/>
              <w:jc w:val="center"/>
            </w:pPr>
            <w:r/>
            <w:r>
              <w:rPr>
                <w:sz w:val="20"/>
              </w:rPr>
              <w:t>20.0</w:t>
            </w:r>
          </w:p>
        </w:tc>
        <w:tc>
          <w:tcPr>
            <w:tcW w:type="dxa" w:w="2353"/>
            <w:vAlign w:val="center"/>
            <w:shd w:val="clear" w:color="auto" w:fill="F5EBE7"/>
          </w:tcPr>
          <w:p>
            <w:pPr>
              <w:spacing w:after="0"/>
              <w:jc w:val="center"/>
            </w:pPr>
            <w:r/>
            <w:r>
              <w:rPr>
                <w:sz w:val="20"/>
              </w:rPr>
              <w:t>9.9</w:t>
            </w:r>
          </w:p>
        </w:tc>
      </w:tr>
      <w:tr>
        <w:tc>
          <w:tcPr>
            <w:tcW w:type="dxa" w:w="2353"/>
            <w:vAlign w:val="center"/>
          </w:tcPr>
          <w:p>
            <w:pPr>
              <w:spacing w:after="0"/>
              <w:jc w:val="center"/>
            </w:pPr>
            <w:r/>
            <w:r>
              <w:rPr>
                <w:sz w:val="20"/>
              </w:rPr>
              <w:t>3</w:t>
            </w:r>
          </w:p>
        </w:tc>
        <w:tc>
          <w:tcPr>
            <w:tcW w:type="dxa" w:w="2353"/>
            <w:vAlign w:val="center"/>
          </w:tcPr>
          <w:p>
            <w:pPr>
              <w:spacing w:after="0"/>
              <w:jc w:val="center"/>
            </w:pPr>
            <w:r/>
            <w:r>
              <w:rPr>
                <w:sz w:val="20"/>
              </w:rPr>
              <w:t>20.0</w:t>
            </w:r>
          </w:p>
        </w:tc>
        <w:tc>
          <w:tcPr>
            <w:tcW w:type="dxa" w:w="2353"/>
            <w:vAlign w:val="center"/>
          </w:tcPr>
          <w:p>
            <w:pPr>
              <w:spacing w:after="0"/>
              <w:jc w:val="center"/>
            </w:pPr>
            <w:r/>
            <w:r>
              <w:rPr>
                <w:sz w:val="20"/>
              </w:rPr>
              <w:t>29.9</w:t>
            </w:r>
          </w:p>
        </w:tc>
        <w:tc>
          <w:tcPr>
            <w:tcW w:type="dxa" w:w="2353"/>
            <w:vAlign w:val="center"/>
          </w:tcPr>
          <w:p>
            <w:pPr>
              <w:spacing w:after="0"/>
              <w:jc w:val="center"/>
            </w:pPr>
            <w:r/>
            <w:r>
              <w:rPr>
                <w:sz w:val="20"/>
              </w:rPr>
              <w:t>9.9</w:t>
            </w:r>
          </w:p>
        </w:tc>
      </w:tr>
      <w:tr>
        <w:tc>
          <w:tcPr>
            <w:tcW w:type="dxa" w:w="2353"/>
            <w:vAlign w:val="center"/>
            <w:shd w:val="clear" w:color="auto" w:fill="F5EBE7"/>
          </w:tcPr>
          <w:p>
            <w:pPr>
              <w:spacing w:after="0"/>
              <w:jc w:val="center"/>
            </w:pPr>
            <w:r/>
            <w:r>
              <w:rPr>
                <w:sz w:val="20"/>
              </w:rPr>
              <w:t>4</w:t>
            </w:r>
          </w:p>
        </w:tc>
        <w:tc>
          <w:tcPr>
            <w:tcW w:type="dxa" w:w="2353"/>
            <w:vAlign w:val="center"/>
            <w:shd w:val="clear" w:color="auto" w:fill="F5EBE7"/>
          </w:tcPr>
          <w:p>
            <w:pPr>
              <w:spacing w:after="0"/>
              <w:jc w:val="center"/>
            </w:pPr>
            <w:r/>
            <w:r>
              <w:rPr>
                <w:sz w:val="20"/>
              </w:rPr>
              <w:t>0.0</w:t>
            </w:r>
          </w:p>
        </w:tc>
        <w:tc>
          <w:tcPr>
            <w:tcW w:type="dxa" w:w="2353"/>
            <w:vAlign w:val="center"/>
            <w:shd w:val="clear" w:color="auto" w:fill="F5EBE7"/>
          </w:tcPr>
          <w:p>
            <w:pPr>
              <w:spacing w:after="0"/>
              <w:jc w:val="center"/>
            </w:pPr>
            <w:r/>
            <w:r>
              <w:rPr>
                <w:sz w:val="20"/>
              </w:rPr>
              <w:t>9.9</w:t>
            </w:r>
          </w:p>
        </w:tc>
        <w:tc>
          <w:tcPr>
            <w:tcW w:type="dxa" w:w="2353"/>
            <w:vAlign w:val="center"/>
            <w:shd w:val="clear" w:color="auto" w:fill="F5EBE7"/>
          </w:tcPr>
          <w:p>
            <w:pPr>
              <w:spacing w:after="0"/>
              <w:jc w:val="center"/>
            </w:pPr>
            <w:r/>
            <w:r>
              <w:rPr>
                <w:sz w:val="20"/>
              </w:rPr>
              <w:t>9.9</w:t>
            </w:r>
          </w:p>
        </w:tc>
      </w:tr>
    </w:tbl>
    <w:p>
      <w:pPr>
        <w:spacing w:after="80"/>
      </w:pPr>
    </w:p>
    <w:p>
      <w:pPr>
        <w:pStyle w:val="Caption"/>
        <w:jc w:val="center"/>
      </w:pPr>
      <w:r>
        <w:t>Observation table (sample readings — replace with your own)</w:t>
      </w:r>
    </w:p>
    <w:p>
      <w:pPr>
        <w:pStyle w:val="Heading3"/>
      </w:pPr>
      <w:r>
        <w:t>Calculations</w:t>
      </w:r>
    </w:p>
    <w:p>
      <w:r>
        <w:t>Concordant volume = 9.9 mL.</w:t>
      </w:r>
    </w:p>
    <w:p>
      <w:r>
        <w:t>Using 2 × M₁ × 9.9 = 5 × (1/50) × 10, M₁ = 0.0081 M.</w:t>
      </w:r>
    </w:p>
    <w:p>
      <w:r>
        <w:t>Strength = molarity × 158 = 1.28 g/L (sample).</w:t>
      </w:r>
    </w:p>
    <w:p>
      <w:pPr>
        <w:pStyle w:val="Heading3"/>
      </w:pPr>
      <w:r>
        <w:t>Result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5EBE7"/>
            <w:tcBorders>
              <w:left w:val="single" w:sz="36" w:space="0" w:color="9A3412"/>
            </w:tcBorders>
          </w:tcPr>
          <w:p>
            <w:pPr>
              <w:spacing w:after="60"/>
            </w:pPr>
            <w:r>
              <w:rPr>
                <w:b/>
                <w:color w:val="9A3412"/>
              </w:rPr>
              <w:t>Result</w:t>
            </w:r>
          </w:p>
          <w:p>
            <w:pPr>
              <w:spacing w:after="0"/>
            </w:pPr>
            <w:r>
              <w:t>Molarity of the given KMnO₄ solution = 0.0081 M; strength = 1.28 g/L (sample result).</w:t>
            </w:r>
          </w:p>
        </w:tc>
      </w:tr>
    </w:tbl>
    <w:p>
      <w:pPr>
        <w:spacing w:after="40"/>
      </w:pPr>
    </w:p>
    <w:p>
      <w:pPr>
        <w:pStyle w:val="Heading3"/>
      </w:pPr>
      <w:r>
        <w:t>Precautions</w:t>
      </w:r>
    </w:p>
    <w:p>
      <w:pPr>
        <w:pStyle w:val="ListBullet"/>
      </w:pPr>
      <w:r>
        <w:t>Read the upper meniscus for KMnO₄ because it is dark coloured.</w:t>
      </w:r>
    </w:p>
    <w:p>
      <w:pPr>
        <w:pStyle w:val="ListBullet"/>
      </w:pPr>
      <w:r>
        <w:t>Heat the oxalic acid solution before titrating, but do not boil it.</w:t>
      </w:r>
    </w:p>
    <w:p>
      <w:pPr>
        <w:pStyle w:val="ListBullet"/>
      </w:pPr>
      <w:r>
        <w:t>Add KMnO₄ drop by drop near the end point.</w:t>
      </w:r>
    </w:p>
    <w:p>
      <w:pPr>
        <w:pStyle w:val="Heading1"/>
      </w:pPr>
      <w:r>
        <w:t>Experiment 2: Qualitative analysis of a simple salt</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3137"/>
        <w:gridCol w:w="3137"/>
        <w:gridCol w:w="3137"/>
      </w:tblGrid>
      <w:tr>
        <w:tc>
          <w:tcPr>
            <w:tcW w:type="dxa" w:w="3137"/>
          </w:tcPr>
          <w:p>
            <w:pPr>
              <w:spacing w:after="0"/>
            </w:pPr>
            <w:r>
              <w:rPr>
                <w:b/>
                <w:color w:val="9A3412"/>
                <w:sz w:val="19"/>
              </w:rPr>
              <w:t xml:space="preserve">Date: </w:t>
            </w:r>
            <w:r>
              <w:rPr>
                <w:sz w:val="19"/>
              </w:rPr>
              <w:t>22 Jul 2025</w:t>
            </w:r>
          </w:p>
        </w:tc>
        <w:tc>
          <w:tcPr>
            <w:tcW w:type="dxa" w:w="3137"/>
          </w:tcPr>
          <w:p>
            <w:pPr>
              <w:spacing w:after="0"/>
            </w:pPr>
            <w:r>
              <w:rPr>
                <w:b/>
                <w:color w:val="9A3412"/>
                <w:sz w:val="19"/>
              </w:rPr>
              <w:t xml:space="preserve">Page No.: </w:t>
            </w:r>
            <w:r>
              <w:rPr>
                <w:sz w:val="19"/>
              </w:rPr>
              <w:t>____</w:t>
            </w:r>
          </w:p>
        </w:tc>
        <w:tc>
          <w:tcPr>
            <w:tcW w:type="dxa" w:w="3137"/>
          </w:tcPr>
          <w:p>
            <w:pPr>
              <w:spacing w:after="0"/>
            </w:pPr>
            <w:r>
              <w:rPr>
                <w:b/>
                <w:color w:val="9A3412"/>
                <w:sz w:val="19"/>
              </w:rPr>
              <w:t xml:space="preserve">Teacher's sign: </w:t>
            </w:r>
            <w:r>
              <w:rPr>
                <w:sz w:val="19"/>
              </w:rPr>
              <w:t>__________</w:t>
            </w:r>
          </w:p>
        </w:tc>
      </w:tr>
    </w:tbl>
    <w:p>
      <w:pPr>
        <w:spacing w:after="80"/>
      </w:pPr>
    </w:p>
    <w:p>
      <w:pPr>
        <w:pStyle w:val="Heading3"/>
      </w:pPr>
      <w:r>
        <w:t>Aim</w:t>
      </w:r>
    </w:p>
    <w:p>
      <w:r>
        <w:t>To identify one cation and one anion present in the given salt.</w:t>
      </w:r>
    </w:p>
    <w:p>
      <w:pPr>
        <w:pStyle w:val="Heading3"/>
      </w:pPr>
      <w:r>
        <w:t>Apparatus / Materials Required</w:t>
      </w:r>
    </w:p>
    <w:p>
      <w:pPr>
        <w:pStyle w:val="ListBullet"/>
      </w:pPr>
      <w:r>
        <w:t>Test tubes, test-tube stand and holder</w:t>
      </w:r>
    </w:p>
    <w:p>
      <w:pPr>
        <w:pStyle w:val="ListBullet"/>
      </w:pPr>
      <w:r>
        <w:t>Burner, spatula and glass rod</w:t>
      </w:r>
    </w:p>
    <w:p>
      <w:pPr>
        <w:pStyle w:val="ListBullet"/>
      </w:pPr>
      <w:r>
        <w:t>Reagents: dil. HCl, conc. H₂SO₄, NaOH, NH₄OH, BaCl₂, etc.</w:t>
      </w:r>
    </w:p>
    <w:p>
      <w:pPr>
        <w:pStyle w:val="Heading3"/>
      </w:pPr>
      <w:r>
        <w:t>Theory</w:t>
      </w:r>
    </w:p>
    <w:p>
      <w:pPr>
        <w:jc w:val="both"/>
      </w:pPr>
      <w:r>
        <w:t>Systematic qualitative analysis first identifies the anion through preliminary tests with dilute and concentrated acids, and then the cation by group separation using group reagents.</w:t>
      </w:r>
    </w:p>
    <w:p>
      <w:pPr>
        <w:pStyle w:val="Heading3"/>
      </w:pPr>
      <w:r>
        <w:t>Procedure</w:t>
      </w:r>
    </w:p>
    <w:p>
      <w:pPr>
        <w:pStyle w:val="ListNumber"/>
      </w:pPr>
      <w:r>
        <w:t>Note the colour, smell and solubility of the salt.</w:t>
      </w:r>
    </w:p>
    <w:p>
      <w:pPr>
        <w:pStyle w:val="ListNumber"/>
      </w:pPr>
      <w:r>
        <w:t>Add dilute H₂SO₄ to the salt and observe any gas evolved.</w:t>
      </w:r>
    </w:p>
    <w:p>
      <w:pPr>
        <w:pStyle w:val="ListNumber"/>
      </w:pPr>
      <w:r>
        <w:t>Perform the confirmatory test for the anion indicated.</w:t>
      </w:r>
    </w:p>
    <w:p>
      <w:pPr>
        <w:pStyle w:val="ListNumber"/>
      </w:pPr>
      <w:r>
        <w:t>Prepare the original solution and add group reagents in order.</w:t>
      </w:r>
    </w:p>
    <w:p>
      <w:pPr>
        <w:pStyle w:val="ListNumber"/>
      </w:pPr>
      <w:r>
        <w:t>Perform the confirmatory test for the cation indicated.</w:t>
      </w:r>
    </w:p>
    <w:p>
      <w:pPr>
        <w:pStyle w:val="Heading3"/>
      </w:pPr>
      <w:r>
        <w:t>Observations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137"/>
        <w:gridCol w:w="3137"/>
        <w:gridCol w:w="3137"/>
      </w:tblGrid>
      <w:tr>
        <w:trPr>
          <w:tblHeader/>
        </w:trPr>
        <w:tc>
          <w:tcPr>
            <w:tcW w:type="dxa" w:w="3137"/>
            <w:vAlign w:val="center"/>
            <w:shd w:val="clear" w:color="auto" w:fill="1C1917"/>
          </w:tcPr>
          <w:p>
            <w:pPr>
              <w:spacing w:after="0"/>
              <w:jc w:val="center"/>
            </w:pPr>
            <w:r/>
            <w:r>
              <w:rPr>
                <w:b/>
                <w:color w:val="FFFFFF"/>
                <w:sz w:val="20"/>
              </w:rPr>
              <w:t>Experiment</w:t>
            </w:r>
          </w:p>
        </w:tc>
        <w:tc>
          <w:tcPr>
            <w:tcW w:type="dxa" w:w="3137"/>
            <w:vAlign w:val="center"/>
            <w:shd w:val="clear" w:color="auto" w:fill="1C1917"/>
          </w:tcPr>
          <w:p>
            <w:pPr>
              <w:spacing w:after="0"/>
              <w:jc w:val="center"/>
            </w:pPr>
            <w:r/>
            <w:r>
              <w:rPr>
                <w:b/>
                <w:color w:val="FFFFFF"/>
                <w:sz w:val="20"/>
              </w:rPr>
              <w:t>Observation</w:t>
            </w:r>
          </w:p>
        </w:tc>
        <w:tc>
          <w:tcPr>
            <w:tcW w:type="dxa" w:w="3137"/>
            <w:vAlign w:val="center"/>
            <w:shd w:val="clear" w:color="auto" w:fill="1C1917"/>
          </w:tcPr>
          <w:p>
            <w:pPr>
              <w:spacing w:after="0"/>
              <w:jc w:val="center"/>
            </w:pPr>
            <w:r/>
            <w:r>
              <w:rPr>
                <w:b/>
                <w:color w:val="FFFFFF"/>
                <w:sz w:val="20"/>
              </w:rPr>
              <w:t>Inference</w:t>
            </w:r>
          </w:p>
        </w:tc>
      </w:tr>
      <w:tr>
        <w:tc>
          <w:tcPr>
            <w:tcW w:type="dxa" w:w="3137"/>
            <w:vAlign w:val="center"/>
          </w:tcPr>
          <w:p>
            <w:pPr>
              <w:spacing w:after="0"/>
              <w:jc w:val="center"/>
            </w:pPr>
            <w:r/>
            <w:r>
              <w:rPr>
                <w:sz w:val="20"/>
              </w:rPr>
              <w:t>Salt + dil. H₂SO₄</w:t>
            </w:r>
          </w:p>
        </w:tc>
        <w:tc>
          <w:tcPr>
            <w:tcW w:type="dxa" w:w="3137"/>
            <w:vAlign w:val="center"/>
          </w:tcPr>
          <w:p>
            <w:pPr>
              <w:spacing w:after="0"/>
              <w:jc w:val="center"/>
            </w:pPr>
            <w:r/>
            <w:r>
              <w:rPr>
                <w:sz w:val="20"/>
              </w:rPr>
              <w:t>No gas evolved</w:t>
            </w:r>
          </w:p>
        </w:tc>
        <w:tc>
          <w:tcPr>
            <w:tcW w:type="dxa" w:w="3137"/>
            <w:vAlign w:val="center"/>
          </w:tcPr>
          <w:p>
            <w:pPr>
              <w:spacing w:after="0"/>
              <w:jc w:val="center"/>
            </w:pPr>
            <w:r/>
            <w:r>
              <w:rPr>
                <w:sz w:val="20"/>
              </w:rPr>
              <w:t>CO₃²⁻, S²⁻, SO₃²⁻ absent</w:t>
            </w:r>
          </w:p>
        </w:tc>
      </w:tr>
      <w:tr>
        <w:tc>
          <w:tcPr>
            <w:tcW w:type="dxa" w:w="3137"/>
            <w:vAlign w:val="center"/>
            <w:shd w:val="clear" w:color="auto" w:fill="F5EBE7"/>
          </w:tcPr>
          <w:p>
            <w:pPr>
              <w:spacing w:after="0"/>
              <w:jc w:val="center"/>
            </w:pPr>
            <w:r/>
            <w:r>
              <w:rPr>
                <w:sz w:val="20"/>
              </w:rPr>
              <w:t>Salt + conc. H₂SO₄, heat</w:t>
            </w:r>
          </w:p>
        </w:tc>
        <w:tc>
          <w:tcPr>
            <w:tcW w:type="dxa" w:w="3137"/>
            <w:vAlign w:val="center"/>
            <w:shd w:val="clear" w:color="auto" w:fill="F5EBE7"/>
          </w:tcPr>
          <w:p>
            <w:pPr>
              <w:spacing w:after="0"/>
              <w:jc w:val="center"/>
            </w:pPr>
            <w:r/>
            <w:r>
              <w:rPr>
                <w:sz w:val="20"/>
              </w:rPr>
              <w:t>Colourless pungent gas, white fumes with NH₃</w:t>
            </w:r>
          </w:p>
        </w:tc>
        <w:tc>
          <w:tcPr>
            <w:tcW w:type="dxa" w:w="3137"/>
            <w:vAlign w:val="center"/>
            <w:shd w:val="clear" w:color="auto" w:fill="F5EBE7"/>
          </w:tcPr>
          <w:p>
            <w:pPr>
              <w:spacing w:after="0"/>
              <w:jc w:val="center"/>
            </w:pPr>
            <w:r/>
            <w:r>
              <w:rPr>
                <w:sz w:val="20"/>
              </w:rPr>
              <w:t>Cl⁻ may be present</w:t>
            </w:r>
          </w:p>
        </w:tc>
      </w:tr>
      <w:tr>
        <w:tc>
          <w:tcPr>
            <w:tcW w:type="dxa" w:w="3137"/>
            <w:vAlign w:val="center"/>
          </w:tcPr>
          <w:p>
            <w:pPr>
              <w:spacing w:after="0"/>
              <w:jc w:val="center"/>
            </w:pPr>
            <w:r/>
            <w:r>
              <w:rPr>
                <w:sz w:val="20"/>
              </w:rPr>
              <w:t>Salt solution + AgNO₃</w:t>
            </w:r>
          </w:p>
        </w:tc>
        <w:tc>
          <w:tcPr>
            <w:tcW w:type="dxa" w:w="3137"/>
            <w:vAlign w:val="center"/>
          </w:tcPr>
          <w:p>
            <w:pPr>
              <w:spacing w:after="0"/>
              <w:jc w:val="center"/>
            </w:pPr>
            <w:r/>
            <w:r>
              <w:rPr>
                <w:sz w:val="20"/>
              </w:rPr>
              <w:t>Curdy white precipitate soluble in NH₄OH</w:t>
            </w:r>
          </w:p>
        </w:tc>
        <w:tc>
          <w:tcPr>
            <w:tcW w:type="dxa" w:w="3137"/>
            <w:vAlign w:val="center"/>
          </w:tcPr>
          <w:p>
            <w:pPr>
              <w:spacing w:after="0"/>
              <w:jc w:val="center"/>
            </w:pPr>
            <w:r/>
            <w:r>
              <w:rPr>
                <w:sz w:val="20"/>
              </w:rPr>
              <w:t>Cl⁻ confirmed</w:t>
            </w:r>
          </w:p>
        </w:tc>
      </w:tr>
      <w:tr>
        <w:tc>
          <w:tcPr>
            <w:tcW w:type="dxa" w:w="3137"/>
            <w:vAlign w:val="center"/>
            <w:shd w:val="clear" w:color="auto" w:fill="F5EBE7"/>
          </w:tcPr>
          <w:p>
            <w:pPr>
              <w:spacing w:after="0"/>
              <w:jc w:val="center"/>
            </w:pPr>
            <w:r/>
            <w:r>
              <w:rPr>
                <w:sz w:val="20"/>
              </w:rPr>
              <w:t>Salt + NaOH, heat</w:t>
            </w:r>
          </w:p>
        </w:tc>
        <w:tc>
          <w:tcPr>
            <w:tcW w:type="dxa" w:w="3137"/>
            <w:vAlign w:val="center"/>
            <w:shd w:val="clear" w:color="auto" w:fill="F5EBE7"/>
          </w:tcPr>
          <w:p>
            <w:pPr>
              <w:spacing w:after="0"/>
              <w:jc w:val="center"/>
            </w:pPr>
            <w:r/>
            <w:r>
              <w:rPr>
                <w:sz w:val="20"/>
              </w:rPr>
              <w:t>Gas with ammonia smell</w:t>
            </w:r>
          </w:p>
        </w:tc>
        <w:tc>
          <w:tcPr>
            <w:tcW w:type="dxa" w:w="3137"/>
            <w:vAlign w:val="center"/>
            <w:shd w:val="clear" w:color="auto" w:fill="F5EBE7"/>
          </w:tcPr>
          <w:p>
            <w:pPr>
              <w:spacing w:after="0"/>
              <w:jc w:val="center"/>
            </w:pPr>
            <w:r/>
            <w:r>
              <w:rPr>
                <w:sz w:val="20"/>
              </w:rPr>
              <w:t>NH₄⁺ may be present</w:t>
            </w:r>
          </w:p>
        </w:tc>
      </w:tr>
      <w:tr>
        <w:tc>
          <w:tcPr>
            <w:tcW w:type="dxa" w:w="3137"/>
            <w:vAlign w:val="center"/>
          </w:tcPr>
          <w:p>
            <w:pPr>
              <w:spacing w:after="0"/>
              <w:jc w:val="center"/>
            </w:pPr>
            <w:r/>
            <w:r>
              <w:rPr>
                <w:sz w:val="20"/>
              </w:rPr>
              <w:t>Gas + Nessler's reagent</w:t>
            </w:r>
          </w:p>
        </w:tc>
        <w:tc>
          <w:tcPr>
            <w:tcW w:type="dxa" w:w="3137"/>
            <w:vAlign w:val="center"/>
          </w:tcPr>
          <w:p>
            <w:pPr>
              <w:spacing w:after="0"/>
              <w:jc w:val="center"/>
            </w:pPr>
            <w:r/>
            <w:r>
              <w:rPr>
                <w:sz w:val="20"/>
              </w:rPr>
              <w:t>Brown precipitate</w:t>
            </w:r>
          </w:p>
        </w:tc>
        <w:tc>
          <w:tcPr>
            <w:tcW w:type="dxa" w:w="3137"/>
            <w:vAlign w:val="center"/>
          </w:tcPr>
          <w:p>
            <w:pPr>
              <w:spacing w:after="0"/>
              <w:jc w:val="center"/>
            </w:pPr>
            <w:r/>
            <w:r>
              <w:rPr>
                <w:sz w:val="20"/>
              </w:rPr>
              <w:t>NH₄⁺ confirmed</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5EBE7"/>
            <w:tcBorders>
              <w:left w:val="single" w:sz="36" w:space="0" w:color="9A3412"/>
            </w:tcBorders>
          </w:tcPr>
          <w:p>
            <w:pPr>
              <w:spacing w:after="60"/>
            </w:pPr>
            <w:r>
              <w:rPr>
                <w:b/>
                <w:color w:val="9A3412"/>
              </w:rPr>
              <w:t>Result</w:t>
            </w:r>
          </w:p>
          <w:p>
            <w:pPr>
              <w:spacing w:after="0"/>
            </w:pPr>
            <w:r>
              <w:t>The given salt contains NH₄⁺ (cation) and Cl⁻ (anion); the salt is ammonium chloride (sample result).</w:t>
            </w:r>
          </w:p>
        </w:tc>
      </w:tr>
    </w:tbl>
    <w:p>
      <w:pPr>
        <w:spacing w:after="40"/>
      </w:pPr>
    </w:p>
    <w:p>
      <w:pPr>
        <w:pStyle w:val="Heading3"/>
      </w:pPr>
      <w:r>
        <w:t>Precautions</w:t>
      </w:r>
    </w:p>
    <w:p>
      <w:pPr>
        <w:pStyle w:val="ListBullet"/>
      </w:pPr>
      <w:r>
        <w:t>Use small quantities of salt and reagents.</w:t>
      </w:r>
    </w:p>
    <w:p>
      <w:pPr>
        <w:pStyle w:val="ListBullet"/>
      </w:pPr>
      <w:r>
        <w:t>Never smell gases directly; waft them towards your nose.</w:t>
      </w:r>
    </w:p>
    <w:p>
      <w:pPr>
        <w:pStyle w:val="ListBullet"/>
      </w:pPr>
      <w:r>
        <w:t>Add reagents in the correct group order.</w:t>
      </w:r>
    </w:p>
    <w:p>
      <w:pPr>
        <w:pStyle w:val="Heading1"/>
      </w:pPr>
      <w:r>
        <w:t>Experiment 3: Preparation of a lyophilic sol</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3137"/>
        <w:gridCol w:w="3137"/>
        <w:gridCol w:w="3137"/>
      </w:tblGrid>
      <w:tr>
        <w:tc>
          <w:tcPr>
            <w:tcW w:type="dxa" w:w="3137"/>
          </w:tcPr>
          <w:p>
            <w:pPr>
              <w:spacing w:after="0"/>
            </w:pPr>
            <w:r>
              <w:rPr>
                <w:b/>
                <w:color w:val="9A3412"/>
                <w:sz w:val="19"/>
              </w:rPr>
              <w:t xml:space="preserve">Date: </w:t>
            </w:r>
            <w:r>
              <w:rPr>
                <w:sz w:val="19"/>
              </w:rPr>
              <w:t>05 Aug 2025</w:t>
            </w:r>
          </w:p>
        </w:tc>
        <w:tc>
          <w:tcPr>
            <w:tcW w:type="dxa" w:w="3137"/>
          </w:tcPr>
          <w:p>
            <w:pPr>
              <w:spacing w:after="0"/>
            </w:pPr>
            <w:r>
              <w:rPr>
                <w:b/>
                <w:color w:val="9A3412"/>
                <w:sz w:val="19"/>
              </w:rPr>
              <w:t xml:space="preserve">Page No.: </w:t>
            </w:r>
            <w:r>
              <w:rPr>
                <w:sz w:val="19"/>
              </w:rPr>
              <w:t>____</w:t>
            </w:r>
          </w:p>
        </w:tc>
        <w:tc>
          <w:tcPr>
            <w:tcW w:type="dxa" w:w="3137"/>
          </w:tcPr>
          <w:p>
            <w:pPr>
              <w:spacing w:after="0"/>
            </w:pPr>
            <w:r>
              <w:rPr>
                <w:b/>
                <w:color w:val="9A3412"/>
                <w:sz w:val="19"/>
              </w:rPr>
              <w:t xml:space="preserve">Teacher's sign: </w:t>
            </w:r>
            <w:r>
              <w:rPr>
                <w:sz w:val="19"/>
              </w:rPr>
              <w:t>__________</w:t>
            </w:r>
          </w:p>
        </w:tc>
      </w:tr>
    </w:tbl>
    <w:p>
      <w:pPr>
        <w:spacing w:after="80"/>
      </w:pPr>
    </w:p>
    <w:p>
      <w:pPr>
        <w:pStyle w:val="Heading3"/>
      </w:pPr>
      <w:r>
        <w:t>Aim</w:t>
      </w:r>
    </w:p>
    <w:p>
      <w:r>
        <w:t>To prepare a colloidal solution of starch (lyophilic sol).</w:t>
      </w:r>
    </w:p>
    <w:p>
      <w:pPr>
        <w:pStyle w:val="Heading3"/>
      </w:pPr>
      <w:r>
        <w:t>Apparatus / Materials Required</w:t>
      </w:r>
    </w:p>
    <w:p>
      <w:pPr>
        <w:pStyle w:val="ListBullet"/>
      </w:pPr>
      <w:r>
        <w:t>Beakers (250 mL), glass rod, tripod stand</w:t>
      </w:r>
    </w:p>
    <w:p>
      <w:pPr>
        <w:pStyle w:val="ListBullet"/>
      </w:pPr>
      <w:r>
        <w:t>Burner, wire gauze, funnel and filter paper</w:t>
      </w:r>
    </w:p>
    <w:p>
      <w:pPr>
        <w:pStyle w:val="ListBullet"/>
      </w:pPr>
      <w:r>
        <w:t>Soluble starch and distilled water</w:t>
      </w:r>
    </w:p>
    <w:p>
      <w:pPr>
        <w:pStyle w:val="Heading3"/>
      </w:pPr>
      <w:r>
        <w:t>Theory</w:t>
      </w:r>
    </w:p>
    <w:p>
      <w:pPr>
        <w:jc w:val="both"/>
      </w:pPr>
      <w:r>
        <w:t>Lyophilic sols are colloids in which the dispersed phase has a strong affinity for the dispersion medium. They are prepared simply by warming the substance with the medium, and they are stable and reversible.</w:t>
      </w:r>
    </w:p>
    <w:p>
      <w:pPr>
        <w:pStyle w:val="Heading3"/>
      </w:pPr>
      <w:r>
        <w:t>Procedure</w:t>
      </w:r>
    </w:p>
    <w:p>
      <w:pPr>
        <w:pStyle w:val="ListNumber"/>
      </w:pPr>
      <w:r>
        <w:t>Make a thin paste of 0.5 g of starch in a few mL of water.</w:t>
      </w:r>
    </w:p>
    <w:p>
      <w:pPr>
        <w:pStyle w:val="ListNumber"/>
      </w:pPr>
      <w:r>
        <w:t>Heat 100 mL of distilled water in a beaker until it boils.</w:t>
      </w:r>
    </w:p>
    <w:p>
      <w:pPr>
        <w:pStyle w:val="ListNumber"/>
      </w:pPr>
      <w:r>
        <w:t>Pour the paste into the boiling water with constant stirring.</w:t>
      </w:r>
    </w:p>
    <w:p>
      <w:pPr>
        <w:pStyle w:val="ListNumber"/>
      </w:pPr>
      <w:r>
        <w:t>Boil for about ten minutes and allow it to cool.</w:t>
      </w:r>
    </w:p>
    <w:p>
      <w:pPr>
        <w:pStyle w:val="ListNumber"/>
      </w:pPr>
      <w:r>
        <w:t>Filter the sol and store it in a labelled bottle.</w:t>
      </w:r>
    </w:p>
    <w:p>
      <w:pPr>
        <w:pStyle w:val="Heading3"/>
      </w:pPr>
      <w:r>
        <w:t>Result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5EBE7"/>
            <w:tcBorders>
              <w:left w:val="single" w:sz="36" w:space="0" w:color="9A3412"/>
            </w:tcBorders>
          </w:tcPr>
          <w:p>
            <w:pPr>
              <w:spacing w:after="60"/>
            </w:pPr>
            <w:r>
              <w:rPr>
                <w:b/>
                <w:color w:val="9A3412"/>
              </w:rPr>
              <w:t>Result</w:t>
            </w:r>
          </w:p>
          <w:p>
            <w:pPr>
              <w:spacing w:after="0"/>
            </w:pPr>
            <w:r>
              <w:t>A colloidal solution of starch (lyophilic sol) was prepared. It is translucent and shows the Tyndall effect.</w:t>
            </w:r>
          </w:p>
        </w:tc>
      </w:tr>
    </w:tbl>
    <w:p>
      <w:pPr>
        <w:spacing w:after="40"/>
      </w:pPr>
    </w:p>
    <w:p>
      <w:pPr>
        <w:pStyle w:val="Heading3"/>
      </w:pPr>
      <w:r>
        <w:t>Precautions</w:t>
      </w:r>
    </w:p>
    <w:p>
      <w:pPr>
        <w:pStyle w:val="ListBullet"/>
      </w:pPr>
      <w:r>
        <w:t>Stir continuously while adding the paste.</w:t>
      </w:r>
    </w:p>
    <w:p>
      <w:pPr>
        <w:pStyle w:val="ListBullet"/>
      </w:pPr>
      <w:r>
        <w:t>Use clean apparatus and distilled water.</w:t>
      </w:r>
    </w:p>
    <w:p>
      <w:pPr>
        <w:pStyle w:val="ListBullet"/>
      </w:pPr>
      <w:r>
        <w:t>Do not boil for too long.</w:t>
      </w:r>
    </w:p>
    <w:p>
      <w:pPr>
        <w:pStyle w:val="Heading1"/>
      </w:pPr>
      <w:r>
        <w:t>Experiment 4: Paper chromatography of plant pigments</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3137"/>
        <w:gridCol w:w="3137"/>
        <w:gridCol w:w="3137"/>
      </w:tblGrid>
      <w:tr>
        <w:tc>
          <w:tcPr>
            <w:tcW w:type="dxa" w:w="3137"/>
          </w:tcPr>
          <w:p>
            <w:pPr>
              <w:spacing w:after="0"/>
            </w:pPr>
            <w:r>
              <w:rPr>
                <w:b/>
                <w:color w:val="9A3412"/>
                <w:sz w:val="19"/>
              </w:rPr>
              <w:t xml:space="preserve">Date: </w:t>
            </w:r>
            <w:r>
              <w:rPr>
                <w:sz w:val="19"/>
              </w:rPr>
              <w:t>19 Aug 2025</w:t>
            </w:r>
          </w:p>
        </w:tc>
        <w:tc>
          <w:tcPr>
            <w:tcW w:type="dxa" w:w="3137"/>
          </w:tcPr>
          <w:p>
            <w:pPr>
              <w:spacing w:after="0"/>
            </w:pPr>
            <w:r>
              <w:rPr>
                <w:b/>
                <w:color w:val="9A3412"/>
                <w:sz w:val="19"/>
              </w:rPr>
              <w:t xml:space="preserve">Page No.: </w:t>
            </w:r>
            <w:r>
              <w:rPr>
                <w:sz w:val="19"/>
              </w:rPr>
              <w:t>____</w:t>
            </w:r>
          </w:p>
        </w:tc>
        <w:tc>
          <w:tcPr>
            <w:tcW w:type="dxa" w:w="3137"/>
          </w:tcPr>
          <w:p>
            <w:pPr>
              <w:spacing w:after="0"/>
            </w:pPr>
            <w:r>
              <w:rPr>
                <w:b/>
                <w:color w:val="9A3412"/>
                <w:sz w:val="19"/>
              </w:rPr>
              <w:t xml:space="preserve">Teacher's sign: </w:t>
            </w:r>
            <w:r>
              <w:rPr>
                <w:sz w:val="19"/>
              </w:rPr>
              <w:t>__________</w:t>
            </w:r>
          </w:p>
        </w:tc>
      </w:tr>
    </w:tbl>
    <w:p>
      <w:pPr>
        <w:spacing w:after="80"/>
      </w:pPr>
    </w:p>
    <w:p>
      <w:pPr>
        <w:pStyle w:val="Heading3"/>
      </w:pPr>
      <w:r>
        <w:t>Aim</w:t>
      </w:r>
    </w:p>
    <w:p>
      <w:r>
        <w:t>To separate the pigments present in the extract of spinach leaves by paper chromatography and find their Rf values.</w:t>
      </w:r>
    </w:p>
    <w:p>
      <w:pPr>
        <w:pStyle w:val="Heading3"/>
      </w:pPr>
      <w:r>
        <w:t>Apparatus / Materials Required</w:t>
      </w:r>
    </w:p>
    <w:p>
      <w:pPr>
        <w:pStyle w:val="ListBullet"/>
      </w:pPr>
      <w:r>
        <w:t>Whatman filter paper strip, chromatography jar with lid</w:t>
      </w:r>
    </w:p>
    <w:p>
      <w:pPr>
        <w:pStyle w:val="ListBullet"/>
      </w:pPr>
      <w:r>
        <w:t>Fresh spinach leaves, mortar and pestle</w:t>
      </w:r>
    </w:p>
    <w:p>
      <w:pPr>
        <w:pStyle w:val="ListBullet"/>
      </w:pPr>
      <w:r>
        <w:t>Acetone, petroleum ether, capillary tube</w:t>
      </w:r>
    </w:p>
    <w:p>
      <w:pPr>
        <w:pStyle w:val="Heading3"/>
      </w:pPr>
      <w:r>
        <w:t>Theory</w:t>
      </w:r>
    </w:p>
    <w:p>
      <w:pPr>
        <w:jc w:val="both"/>
      </w:pPr>
      <w:r>
        <w:t>Chromatography separates the components of a mixture based on their different affinity for a stationary phase (paper) and a mobile phase (solvent). The retardation factor Rf compares the distance moved by a component with the distance moved by the solvent.</w:t>
      </w:r>
    </w:p>
    <w:p>
      <w:pPr>
        <w:spacing w:after="120" w:before="40"/>
        <w:jc w:val="center"/>
      </w:pPr>
      <w:r>
        <w:rPr>
          <w:b/>
          <w:color w:val="9A3412"/>
        </w:rPr>
        <w:t>Rf = distance travelled by the component / distance travelled by the solvent</w:t>
      </w:r>
    </w:p>
    <w:p>
      <w:pPr>
        <w:pStyle w:val="Heading3"/>
      </w:pPr>
      <w:r>
        <w:t>Procedure</w:t>
      </w:r>
    </w:p>
    <w:p>
      <w:pPr>
        <w:pStyle w:val="ListNumber"/>
      </w:pPr>
      <w:r>
        <w:t>Grind the leaves with acetone and filter to obtain the pigment extract.</w:t>
      </w:r>
    </w:p>
    <w:p>
      <w:pPr>
        <w:pStyle w:val="ListNumber"/>
      </w:pPr>
      <w:r>
        <w:t>Draw a pencil line 2 cm from one end of the paper strip and put a small spot of extract on it.</w:t>
      </w:r>
    </w:p>
    <w:p>
      <w:pPr>
        <w:pStyle w:val="ListNumber"/>
      </w:pPr>
      <w:r>
        <w:t>Dry and repeat the spotting several times.</w:t>
      </w:r>
    </w:p>
    <w:p>
      <w:pPr>
        <w:pStyle w:val="ListNumber"/>
      </w:pPr>
      <w:r>
        <w:t>Suspend the strip in the jar with its lower end dipping in the solvent, keeping the spot above the solvent level.</w:t>
      </w:r>
    </w:p>
    <w:p>
      <w:pPr>
        <w:pStyle w:val="ListNumber"/>
      </w:pPr>
      <w:r>
        <w:t>Remove the strip when the solvent front has risen about 10 cm; mark the front and the bands.</w:t>
      </w:r>
    </w:p>
    <w:p>
      <w:pPr>
        <w:pStyle w:val="Heading3"/>
      </w:pPr>
      <w:r>
        <w:t>Observations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353"/>
        <w:gridCol w:w="2353"/>
        <w:gridCol w:w="2353"/>
        <w:gridCol w:w="2353"/>
      </w:tblGrid>
      <w:tr>
        <w:trPr>
          <w:tblHeader/>
        </w:trPr>
        <w:tc>
          <w:tcPr>
            <w:tcW w:type="dxa" w:w="2353"/>
            <w:vAlign w:val="center"/>
            <w:shd w:val="clear" w:color="auto" w:fill="1C1917"/>
          </w:tcPr>
          <w:p>
            <w:pPr>
              <w:spacing w:after="0"/>
              <w:jc w:val="center"/>
            </w:pPr>
            <w:r/>
            <w:r>
              <w:rPr>
                <w:b/>
                <w:color w:val="FFFFFF"/>
                <w:sz w:val="20"/>
              </w:rPr>
              <w:t>Band (colour)</w:t>
            </w:r>
          </w:p>
        </w:tc>
        <w:tc>
          <w:tcPr>
            <w:tcW w:type="dxa" w:w="2353"/>
            <w:vAlign w:val="center"/>
            <w:shd w:val="clear" w:color="auto" w:fill="1C1917"/>
          </w:tcPr>
          <w:p>
            <w:pPr>
              <w:spacing w:after="0"/>
              <w:jc w:val="center"/>
            </w:pPr>
            <w:r/>
            <w:r>
              <w:rPr>
                <w:b/>
                <w:color w:val="FFFFFF"/>
                <w:sz w:val="20"/>
              </w:rPr>
              <w:t>Distance moved (cm)</w:t>
            </w:r>
          </w:p>
        </w:tc>
        <w:tc>
          <w:tcPr>
            <w:tcW w:type="dxa" w:w="2353"/>
            <w:vAlign w:val="center"/>
            <w:shd w:val="clear" w:color="auto" w:fill="1C1917"/>
          </w:tcPr>
          <w:p>
            <w:pPr>
              <w:spacing w:after="0"/>
              <w:jc w:val="center"/>
            </w:pPr>
            <w:r/>
            <w:r>
              <w:rPr>
                <w:b/>
                <w:color w:val="FFFFFF"/>
                <w:sz w:val="20"/>
              </w:rPr>
              <w:t>Solvent front (cm)</w:t>
            </w:r>
          </w:p>
        </w:tc>
        <w:tc>
          <w:tcPr>
            <w:tcW w:type="dxa" w:w="2353"/>
            <w:vAlign w:val="center"/>
            <w:shd w:val="clear" w:color="auto" w:fill="1C1917"/>
          </w:tcPr>
          <w:p>
            <w:pPr>
              <w:spacing w:after="0"/>
              <w:jc w:val="center"/>
            </w:pPr>
            <w:r/>
            <w:r>
              <w:rPr>
                <w:b/>
                <w:color w:val="FFFFFF"/>
                <w:sz w:val="20"/>
              </w:rPr>
              <w:t>Rf</w:t>
            </w:r>
          </w:p>
        </w:tc>
      </w:tr>
      <w:tr>
        <w:tc>
          <w:tcPr>
            <w:tcW w:type="dxa" w:w="2353"/>
            <w:vAlign w:val="center"/>
          </w:tcPr>
          <w:p>
            <w:pPr>
              <w:spacing w:after="0"/>
              <w:jc w:val="center"/>
            </w:pPr>
            <w:r/>
            <w:r>
              <w:rPr>
                <w:sz w:val="20"/>
              </w:rPr>
              <w:t>Carotene (yellow-orange)</w:t>
            </w:r>
          </w:p>
        </w:tc>
        <w:tc>
          <w:tcPr>
            <w:tcW w:type="dxa" w:w="2353"/>
            <w:vAlign w:val="center"/>
          </w:tcPr>
          <w:p>
            <w:pPr>
              <w:spacing w:after="0"/>
              <w:jc w:val="center"/>
            </w:pPr>
            <w:r/>
            <w:r>
              <w:rPr>
                <w:sz w:val="20"/>
              </w:rPr>
              <w:t>9.4</w:t>
            </w:r>
          </w:p>
        </w:tc>
        <w:tc>
          <w:tcPr>
            <w:tcW w:type="dxa" w:w="2353"/>
            <w:vAlign w:val="center"/>
          </w:tcPr>
          <w:p>
            <w:pPr>
              <w:spacing w:after="0"/>
              <w:jc w:val="center"/>
            </w:pPr>
            <w:r/>
            <w:r>
              <w:rPr>
                <w:sz w:val="20"/>
              </w:rPr>
              <w:t>10.0</w:t>
            </w:r>
          </w:p>
        </w:tc>
        <w:tc>
          <w:tcPr>
            <w:tcW w:type="dxa" w:w="2353"/>
            <w:vAlign w:val="center"/>
          </w:tcPr>
          <w:p>
            <w:pPr>
              <w:spacing w:after="0"/>
              <w:jc w:val="center"/>
            </w:pPr>
            <w:r/>
            <w:r>
              <w:rPr>
                <w:sz w:val="20"/>
              </w:rPr>
              <w:t>0.94</w:t>
            </w:r>
          </w:p>
        </w:tc>
      </w:tr>
      <w:tr>
        <w:tc>
          <w:tcPr>
            <w:tcW w:type="dxa" w:w="2353"/>
            <w:vAlign w:val="center"/>
            <w:shd w:val="clear" w:color="auto" w:fill="F5EBE7"/>
          </w:tcPr>
          <w:p>
            <w:pPr>
              <w:spacing w:after="0"/>
              <w:jc w:val="center"/>
            </w:pPr>
            <w:r/>
            <w:r>
              <w:rPr>
                <w:sz w:val="20"/>
              </w:rPr>
              <w:t>Xanthophyll (yellow)</w:t>
            </w:r>
          </w:p>
        </w:tc>
        <w:tc>
          <w:tcPr>
            <w:tcW w:type="dxa" w:w="2353"/>
            <w:vAlign w:val="center"/>
            <w:shd w:val="clear" w:color="auto" w:fill="F5EBE7"/>
          </w:tcPr>
          <w:p>
            <w:pPr>
              <w:spacing w:after="0"/>
              <w:jc w:val="center"/>
            </w:pPr>
            <w:r/>
            <w:r>
              <w:rPr>
                <w:sz w:val="20"/>
              </w:rPr>
              <w:t>7.1</w:t>
            </w:r>
          </w:p>
        </w:tc>
        <w:tc>
          <w:tcPr>
            <w:tcW w:type="dxa" w:w="2353"/>
            <w:vAlign w:val="center"/>
            <w:shd w:val="clear" w:color="auto" w:fill="F5EBE7"/>
          </w:tcPr>
          <w:p>
            <w:pPr>
              <w:spacing w:after="0"/>
              <w:jc w:val="center"/>
            </w:pPr>
            <w:r/>
            <w:r>
              <w:rPr>
                <w:sz w:val="20"/>
              </w:rPr>
              <w:t>10.0</w:t>
            </w:r>
          </w:p>
        </w:tc>
        <w:tc>
          <w:tcPr>
            <w:tcW w:type="dxa" w:w="2353"/>
            <w:vAlign w:val="center"/>
            <w:shd w:val="clear" w:color="auto" w:fill="F5EBE7"/>
          </w:tcPr>
          <w:p>
            <w:pPr>
              <w:spacing w:after="0"/>
              <w:jc w:val="center"/>
            </w:pPr>
            <w:r/>
            <w:r>
              <w:rPr>
                <w:sz w:val="20"/>
              </w:rPr>
              <w:t>0.71</w:t>
            </w:r>
          </w:p>
        </w:tc>
      </w:tr>
      <w:tr>
        <w:tc>
          <w:tcPr>
            <w:tcW w:type="dxa" w:w="2353"/>
            <w:vAlign w:val="center"/>
          </w:tcPr>
          <w:p>
            <w:pPr>
              <w:spacing w:after="0"/>
              <w:jc w:val="center"/>
            </w:pPr>
            <w:r/>
            <w:r>
              <w:rPr>
                <w:sz w:val="20"/>
              </w:rPr>
              <w:t>Chlorophyll a (blue-green)</w:t>
            </w:r>
          </w:p>
        </w:tc>
        <w:tc>
          <w:tcPr>
            <w:tcW w:type="dxa" w:w="2353"/>
            <w:vAlign w:val="center"/>
          </w:tcPr>
          <w:p>
            <w:pPr>
              <w:spacing w:after="0"/>
              <w:jc w:val="center"/>
            </w:pPr>
            <w:r/>
            <w:r>
              <w:rPr>
                <w:sz w:val="20"/>
              </w:rPr>
              <w:t>4.8</w:t>
            </w:r>
          </w:p>
        </w:tc>
        <w:tc>
          <w:tcPr>
            <w:tcW w:type="dxa" w:w="2353"/>
            <w:vAlign w:val="center"/>
          </w:tcPr>
          <w:p>
            <w:pPr>
              <w:spacing w:after="0"/>
              <w:jc w:val="center"/>
            </w:pPr>
            <w:r/>
            <w:r>
              <w:rPr>
                <w:sz w:val="20"/>
              </w:rPr>
              <w:t>10.0</w:t>
            </w:r>
          </w:p>
        </w:tc>
        <w:tc>
          <w:tcPr>
            <w:tcW w:type="dxa" w:w="2353"/>
            <w:vAlign w:val="center"/>
          </w:tcPr>
          <w:p>
            <w:pPr>
              <w:spacing w:after="0"/>
              <w:jc w:val="center"/>
            </w:pPr>
            <w:r/>
            <w:r>
              <w:rPr>
                <w:sz w:val="20"/>
              </w:rPr>
              <w:t>0.48</w:t>
            </w:r>
          </w:p>
        </w:tc>
      </w:tr>
      <w:tr>
        <w:tc>
          <w:tcPr>
            <w:tcW w:type="dxa" w:w="2353"/>
            <w:vAlign w:val="center"/>
            <w:shd w:val="clear" w:color="auto" w:fill="F5EBE7"/>
          </w:tcPr>
          <w:p>
            <w:pPr>
              <w:spacing w:after="0"/>
              <w:jc w:val="center"/>
            </w:pPr>
            <w:r/>
            <w:r>
              <w:rPr>
                <w:sz w:val="20"/>
              </w:rPr>
              <w:t>Chlorophyll b (yellow-green)</w:t>
            </w:r>
          </w:p>
        </w:tc>
        <w:tc>
          <w:tcPr>
            <w:tcW w:type="dxa" w:w="2353"/>
            <w:vAlign w:val="center"/>
            <w:shd w:val="clear" w:color="auto" w:fill="F5EBE7"/>
          </w:tcPr>
          <w:p>
            <w:pPr>
              <w:spacing w:after="0"/>
              <w:jc w:val="center"/>
            </w:pPr>
            <w:r/>
            <w:r>
              <w:rPr>
                <w:sz w:val="20"/>
              </w:rPr>
              <w:t>3.6</w:t>
            </w:r>
          </w:p>
        </w:tc>
        <w:tc>
          <w:tcPr>
            <w:tcW w:type="dxa" w:w="2353"/>
            <w:vAlign w:val="center"/>
            <w:shd w:val="clear" w:color="auto" w:fill="F5EBE7"/>
          </w:tcPr>
          <w:p>
            <w:pPr>
              <w:spacing w:after="0"/>
              <w:jc w:val="center"/>
            </w:pPr>
            <w:r/>
            <w:r>
              <w:rPr>
                <w:sz w:val="20"/>
              </w:rPr>
              <w:t>10.0</w:t>
            </w:r>
          </w:p>
        </w:tc>
        <w:tc>
          <w:tcPr>
            <w:tcW w:type="dxa" w:w="2353"/>
            <w:vAlign w:val="center"/>
            <w:shd w:val="clear" w:color="auto" w:fill="F5EBE7"/>
          </w:tcPr>
          <w:p>
            <w:pPr>
              <w:spacing w:after="0"/>
              <w:jc w:val="center"/>
            </w:pPr>
            <w:r/>
            <w:r>
              <w:rPr>
                <w:sz w:val="20"/>
              </w:rPr>
              <w:t>0.36</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5EBE7"/>
            <w:tcBorders>
              <w:left w:val="single" w:sz="36" w:space="0" w:color="9A3412"/>
            </w:tcBorders>
          </w:tcPr>
          <w:p>
            <w:pPr>
              <w:spacing w:after="60"/>
            </w:pPr>
            <w:r>
              <w:rPr>
                <w:b/>
                <w:color w:val="9A3412"/>
              </w:rPr>
              <w:t>Result</w:t>
            </w:r>
          </w:p>
          <w:p>
            <w:pPr>
              <w:spacing w:after="0"/>
            </w:pPr>
            <w:r>
              <w:t>Four pigments were separated; their Rf values are recorded above (sample result).</w:t>
            </w:r>
          </w:p>
        </w:tc>
      </w:tr>
    </w:tbl>
    <w:p>
      <w:pPr>
        <w:spacing w:after="40"/>
      </w:pPr>
    </w:p>
    <w:p>
      <w:pPr>
        <w:pStyle w:val="Heading3"/>
      </w:pPr>
      <w:r>
        <w:t>Precautions</w:t>
      </w:r>
    </w:p>
    <w:p>
      <w:pPr>
        <w:pStyle w:val="ListBullet"/>
      </w:pPr>
      <w:r>
        <w:t>Use a pencil, not ink, to mark the paper.</w:t>
      </w:r>
    </w:p>
    <w:p>
      <w:pPr>
        <w:pStyle w:val="ListBullet"/>
      </w:pPr>
      <w:r>
        <w:t>The spot should be small and concentrated.</w:t>
      </w:r>
    </w:p>
    <w:p>
      <w:pPr>
        <w:pStyle w:val="ListBullet"/>
      </w:pPr>
      <w:r>
        <w:t>Keep the jar covered during the run.</w:t>
      </w:r>
    </w:p>
    <w:p>
      <w:pPr>
        <w:pStyle w:val="Heading1"/>
      </w:pPr>
      <w:r>
        <w:t>Experiment 5: Effect of concentration on reaction rate</w:t>
      </w:r>
    </w:p>
    <w:tbl>
      <w:tblPr>
        <w:tblLayout w:type="fixed"/>
        <w:tblLook w:firstColumn="1" w:firstRow="1" w:lastColumn="0" w:lastRow="0" w:noHBand="0" w:noVBand="1" w:val="04A0"/>
        <w:tblW w:w="9412"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3137"/>
        <w:gridCol w:w="3137"/>
        <w:gridCol w:w="3137"/>
      </w:tblGrid>
      <w:tr>
        <w:tc>
          <w:tcPr>
            <w:tcW w:type="dxa" w:w="3137"/>
          </w:tcPr>
          <w:p>
            <w:pPr>
              <w:spacing w:after="0"/>
            </w:pPr>
            <w:r>
              <w:rPr>
                <w:b/>
                <w:color w:val="9A3412"/>
                <w:sz w:val="19"/>
              </w:rPr>
              <w:t xml:space="preserve">Date: </w:t>
            </w:r>
            <w:r>
              <w:rPr>
                <w:sz w:val="19"/>
              </w:rPr>
              <w:t>02 Sep 2025</w:t>
            </w:r>
          </w:p>
        </w:tc>
        <w:tc>
          <w:tcPr>
            <w:tcW w:type="dxa" w:w="3137"/>
          </w:tcPr>
          <w:p>
            <w:pPr>
              <w:spacing w:after="0"/>
            </w:pPr>
            <w:r>
              <w:rPr>
                <w:b/>
                <w:color w:val="9A3412"/>
                <w:sz w:val="19"/>
              </w:rPr>
              <w:t xml:space="preserve">Page No.: </w:t>
            </w:r>
            <w:r>
              <w:rPr>
                <w:sz w:val="19"/>
              </w:rPr>
              <w:t>____</w:t>
            </w:r>
          </w:p>
        </w:tc>
        <w:tc>
          <w:tcPr>
            <w:tcW w:type="dxa" w:w="3137"/>
          </w:tcPr>
          <w:p>
            <w:pPr>
              <w:spacing w:after="0"/>
            </w:pPr>
            <w:r>
              <w:rPr>
                <w:b/>
                <w:color w:val="9A3412"/>
                <w:sz w:val="19"/>
              </w:rPr>
              <w:t xml:space="preserve">Teacher's sign: </w:t>
            </w:r>
            <w:r>
              <w:rPr>
                <w:sz w:val="19"/>
              </w:rPr>
              <w:t>__________</w:t>
            </w:r>
          </w:p>
        </w:tc>
      </w:tr>
    </w:tbl>
    <w:p>
      <w:pPr>
        <w:spacing w:after="80"/>
      </w:pPr>
    </w:p>
    <w:p>
      <w:pPr>
        <w:pStyle w:val="Heading3"/>
      </w:pPr>
      <w:r>
        <w:t>Aim</w:t>
      </w:r>
    </w:p>
    <w:p>
      <w:r>
        <w:t>To study the effect of concentration on the rate of reaction between sodium thiosulphate and hydrochloric acid.</w:t>
      </w:r>
    </w:p>
    <w:p>
      <w:pPr>
        <w:pStyle w:val="Heading3"/>
      </w:pPr>
      <w:r>
        <w:t>Apparatus / Materials Required</w:t>
      </w:r>
    </w:p>
    <w:p>
      <w:pPr>
        <w:pStyle w:val="ListBullet"/>
      </w:pPr>
      <w:r>
        <w:t>Conical flasks (100 mL), measuring cylinders</w:t>
      </w:r>
    </w:p>
    <w:p>
      <w:pPr>
        <w:pStyle w:val="ListBullet"/>
      </w:pPr>
      <w:r>
        <w:t>Stopwatch, white paper with a cross mark</w:t>
      </w:r>
    </w:p>
    <w:p>
      <w:pPr>
        <w:pStyle w:val="ListBullet"/>
      </w:pPr>
      <w:r>
        <w:t>0.1 M Na₂S₂O₃ solution, 1 M HCl, distilled water</w:t>
      </w:r>
    </w:p>
    <w:p>
      <w:pPr>
        <w:pStyle w:val="Heading3"/>
      </w:pPr>
      <w:r>
        <w:t>Theory</w:t>
      </w:r>
    </w:p>
    <w:p>
      <w:pPr>
        <w:jc w:val="both"/>
      </w:pPr>
      <w:r>
        <w:t>Sodium thiosulphate reacts with hydrochloric acid to produce colloidal sulphur, which makes the solution turbid. The time taken for a cross under the flask to disappear is inversely proportional to the rate of reaction.</w:t>
      </w:r>
    </w:p>
    <w:p>
      <w:pPr>
        <w:spacing w:after="120" w:before="40"/>
        <w:jc w:val="center"/>
      </w:pPr>
      <w:r>
        <w:rPr>
          <w:b/>
          <w:color w:val="9A3412"/>
        </w:rPr>
        <w:t>Na₂S₂O₃ + 2HCl → 2NaCl + H₂O + SO₂ + S</w:t>
      </w:r>
    </w:p>
    <w:p>
      <w:pPr>
        <w:pStyle w:val="Heading3"/>
      </w:pPr>
      <w:r>
        <w:t>Procedure</w:t>
      </w:r>
    </w:p>
    <w:p>
      <w:pPr>
        <w:pStyle w:val="ListNumber"/>
      </w:pPr>
      <w:r>
        <w:t>Place a flask on the paper marked with a cross.</w:t>
      </w:r>
    </w:p>
    <w:p>
      <w:pPr>
        <w:pStyle w:val="ListNumber"/>
      </w:pPr>
      <w:r>
        <w:t>Add 50 mL of thiosulphate solution and then 10 mL of HCl, starting the stopwatch at once.</w:t>
      </w:r>
    </w:p>
    <w:p>
      <w:pPr>
        <w:pStyle w:val="ListNumber"/>
      </w:pPr>
      <w:r>
        <w:t>Note the time when the cross just becomes invisible from above.</w:t>
      </w:r>
    </w:p>
    <w:p>
      <w:pPr>
        <w:pStyle w:val="ListNumber"/>
      </w:pPr>
      <w:r>
        <w:t>Repeat with thiosulphate diluted to 40, 30, 20 and 10 mL (made up to 50 mL with water).</w:t>
      </w:r>
    </w:p>
    <w:p>
      <w:pPr>
        <w:pStyle w:val="ListNumber"/>
      </w:pPr>
      <w:r>
        <w:t>Plot concentration against 1/t.</w:t>
      </w:r>
    </w:p>
    <w:p>
      <w:pPr>
        <w:pStyle w:val="Heading3"/>
      </w:pPr>
      <w:r>
        <w:t>Observations</w:t>
      </w:r>
    </w:p>
    <w:tbl>
      <w:tblPr>
        <w:jc w:val="center"/>
        <w:tblLayout w:type="fixed"/>
        <w:tblLook w:firstColumn="1" w:firstRow="1" w:lastColumn="0" w:lastRow="0" w:noHBand="0" w:noVBand="1" w:val="04A0"/>
        <w:tblW w:w="9412"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1882"/>
        <w:gridCol w:w="1882"/>
        <w:gridCol w:w="1882"/>
        <w:gridCol w:w="1882"/>
        <w:gridCol w:w="1882"/>
      </w:tblGrid>
      <w:tr>
        <w:trPr>
          <w:tblHeader/>
        </w:trPr>
        <w:tc>
          <w:tcPr>
            <w:tcW w:type="dxa" w:w="1882"/>
            <w:vAlign w:val="center"/>
            <w:shd w:val="clear" w:color="auto" w:fill="1C1917"/>
          </w:tcPr>
          <w:p>
            <w:pPr>
              <w:spacing w:after="0"/>
              <w:jc w:val="center"/>
            </w:pPr>
            <w:r/>
            <w:r>
              <w:rPr>
                <w:b/>
                <w:color w:val="FFFFFF"/>
                <w:sz w:val="20"/>
              </w:rPr>
              <w:t>Flask</w:t>
            </w:r>
          </w:p>
        </w:tc>
        <w:tc>
          <w:tcPr>
            <w:tcW w:type="dxa" w:w="1882"/>
            <w:vAlign w:val="center"/>
            <w:shd w:val="clear" w:color="auto" w:fill="1C1917"/>
          </w:tcPr>
          <w:p>
            <w:pPr>
              <w:spacing w:after="0"/>
              <w:jc w:val="center"/>
            </w:pPr>
            <w:r/>
            <w:r>
              <w:rPr>
                <w:b/>
                <w:color w:val="FFFFFF"/>
                <w:sz w:val="20"/>
              </w:rPr>
              <w:t>Vol. of Na₂S₂O₃ (mL)</w:t>
            </w:r>
          </w:p>
        </w:tc>
        <w:tc>
          <w:tcPr>
            <w:tcW w:type="dxa" w:w="1882"/>
            <w:vAlign w:val="center"/>
            <w:shd w:val="clear" w:color="auto" w:fill="1C1917"/>
          </w:tcPr>
          <w:p>
            <w:pPr>
              <w:spacing w:after="0"/>
              <w:jc w:val="center"/>
            </w:pPr>
            <w:r/>
            <w:r>
              <w:rPr>
                <w:b/>
                <w:color w:val="FFFFFF"/>
                <w:sz w:val="20"/>
              </w:rPr>
              <w:t>Vol. of water (mL)</w:t>
            </w:r>
          </w:p>
        </w:tc>
        <w:tc>
          <w:tcPr>
            <w:tcW w:type="dxa" w:w="1882"/>
            <w:vAlign w:val="center"/>
            <w:shd w:val="clear" w:color="auto" w:fill="1C1917"/>
          </w:tcPr>
          <w:p>
            <w:pPr>
              <w:spacing w:after="0"/>
              <w:jc w:val="center"/>
            </w:pPr>
            <w:r/>
            <w:r>
              <w:rPr>
                <w:b/>
                <w:color w:val="FFFFFF"/>
                <w:sz w:val="20"/>
              </w:rPr>
              <w:t>Time t (s)</w:t>
            </w:r>
          </w:p>
        </w:tc>
        <w:tc>
          <w:tcPr>
            <w:tcW w:type="dxa" w:w="1882"/>
            <w:vAlign w:val="center"/>
            <w:shd w:val="clear" w:color="auto" w:fill="1C1917"/>
          </w:tcPr>
          <w:p>
            <w:pPr>
              <w:spacing w:after="0"/>
              <w:jc w:val="center"/>
            </w:pPr>
            <w:r/>
            <w:r>
              <w:rPr>
                <w:b/>
                <w:color w:val="FFFFFF"/>
                <w:sz w:val="20"/>
              </w:rPr>
              <w:t>1/t (s⁻¹)</w:t>
            </w:r>
          </w:p>
        </w:tc>
      </w:tr>
      <w:tr>
        <w:tc>
          <w:tcPr>
            <w:tcW w:type="dxa" w:w="1882"/>
            <w:vAlign w:val="center"/>
          </w:tcPr>
          <w:p>
            <w:pPr>
              <w:spacing w:after="0"/>
              <w:jc w:val="center"/>
            </w:pPr>
            <w:r/>
            <w:r>
              <w:rPr>
                <w:sz w:val="20"/>
              </w:rPr>
              <w:t>1</w:t>
            </w:r>
          </w:p>
        </w:tc>
        <w:tc>
          <w:tcPr>
            <w:tcW w:type="dxa" w:w="1882"/>
            <w:vAlign w:val="center"/>
          </w:tcPr>
          <w:p>
            <w:pPr>
              <w:spacing w:after="0"/>
              <w:jc w:val="center"/>
            </w:pPr>
            <w:r/>
            <w:r>
              <w:rPr>
                <w:sz w:val="20"/>
              </w:rPr>
              <w:t>50</w:t>
            </w:r>
          </w:p>
        </w:tc>
        <w:tc>
          <w:tcPr>
            <w:tcW w:type="dxa" w:w="1882"/>
            <w:vAlign w:val="center"/>
          </w:tcPr>
          <w:p>
            <w:pPr>
              <w:spacing w:after="0"/>
              <w:jc w:val="center"/>
            </w:pPr>
            <w:r/>
            <w:r>
              <w:rPr>
                <w:sz w:val="20"/>
              </w:rPr>
              <w:t>0</w:t>
            </w:r>
          </w:p>
        </w:tc>
        <w:tc>
          <w:tcPr>
            <w:tcW w:type="dxa" w:w="1882"/>
            <w:vAlign w:val="center"/>
          </w:tcPr>
          <w:p>
            <w:pPr>
              <w:spacing w:after="0"/>
              <w:jc w:val="center"/>
            </w:pPr>
            <w:r/>
            <w:r>
              <w:rPr>
                <w:sz w:val="20"/>
              </w:rPr>
              <w:t>42</w:t>
            </w:r>
          </w:p>
        </w:tc>
        <w:tc>
          <w:tcPr>
            <w:tcW w:type="dxa" w:w="1882"/>
            <w:vAlign w:val="center"/>
          </w:tcPr>
          <w:p>
            <w:pPr>
              <w:spacing w:after="0"/>
              <w:jc w:val="center"/>
            </w:pPr>
            <w:r/>
            <w:r>
              <w:rPr>
                <w:sz w:val="20"/>
              </w:rPr>
              <w:t>0.024</w:t>
            </w:r>
          </w:p>
        </w:tc>
      </w:tr>
      <w:tr>
        <w:tc>
          <w:tcPr>
            <w:tcW w:type="dxa" w:w="1882"/>
            <w:vAlign w:val="center"/>
            <w:shd w:val="clear" w:color="auto" w:fill="F5EBE7"/>
          </w:tcPr>
          <w:p>
            <w:pPr>
              <w:spacing w:after="0"/>
              <w:jc w:val="center"/>
            </w:pPr>
            <w:r/>
            <w:r>
              <w:rPr>
                <w:sz w:val="20"/>
              </w:rPr>
              <w:t>2</w:t>
            </w:r>
          </w:p>
        </w:tc>
        <w:tc>
          <w:tcPr>
            <w:tcW w:type="dxa" w:w="1882"/>
            <w:vAlign w:val="center"/>
            <w:shd w:val="clear" w:color="auto" w:fill="F5EBE7"/>
          </w:tcPr>
          <w:p>
            <w:pPr>
              <w:spacing w:after="0"/>
              <w:jc w:val="center"/>
            </w:pPr>
            <w:r/>
            <w:r>
              <w:rPr>
                <w:sz w:val="20"/>
              </w:rPr>
              <w:t>40</w:t>
            </w:r>
          </w:p>
        </w:tc>
        <w:tc>
          <w:tcPr>
            <w:tcW w:type="dxa" w:w="1882"/>
            <w:vAlign w:val="center"/>
            <w:shd w:val="clear" w:color="auto" w:fill="F5EBE7"/>
          </w:tcPr>
          <w:p>
            <w:pPr>
              <w:spacing w:after="0"/>
              <w:jc w:val="center"/>
            </w:pPr>
            <w:r/>
            <w:r>
              <w:rPr>
                <w:sz w:val="20"/>
              </w:rPr>
              <w:t>10</w:t>
            </w:r>
          </w:p>
        </w:tc>
        <w:tc>
          <w:tcPr>
            <w:tcW w:type="dxa" w:w="1882"/>
            <w:vAlign w:val="center"/>
            <w:shd w:val="clear" w:color="auto" w:fill="F5EBE7"/>
          </w:tcPr>
          <w:p>
            <w:pPr>
              <w:spacing w:after="0"/>
              <w:jc w:val="center"/>
            </w:pPr>
            <w:r/>
            <w:r>
              <w:rPr>
                <w:sz w:val="20"/>
              </w:rPr>
              <w:t>53</w:t>
            </w:r>
          </w:p>
        </w:tc>
        <w:tc>
          <w:tcPr>
            <w:tcW w:type="dxa" w:w="1882"/>
            <w:vAlign w:val="center"/>
            <w:shd w:val="clear" w:color="auto" w:fill="F5EBE7"/>
          </w:tcPr>
          <w:p>
            <w:pPr>
              <w:spacing w:after="0"/>
              <w:jc w:val="center"/>
            </w:pPr>
            <w:r/>
            <w:r>
              <w:rPr>
                <w:sz w:val="20"/>
              </w:rPr>
              <w:t>0.019</w:t>
            </w:r>
          </w:p>
        </w:tc>
      </w:tr>
      <w:tr>
        <w:tc>
          <w:tcPr>
            <w:tcW w:type="dxa" w:w="1882"/>
            <w:vAlign w:val="center"/>
          </w:tcPr>
          <w:p>
            <w:pPr>
              <w:spacing w:after="0"/>
              <w:jc w:val="center"/>
            </w:pPr>
            <w:r/>
            <w:r>
              <w:rPr>
                <w:sz w:val="20"/>
              </w:rPr>
              <w:t>3</w:t>
            </w:r>
          </w:p>
        </w:tc>
        <w:tc>
          <w:tcPr>
            <w:tcW w:type="dxa" w:w="1882"/>
            <w:vAlign w:val="center"/>
          </w:tcPr>
          <w:p>
            <w:pPr>
              <w:spacing w:after="0"/>
              <w:jc w:val="center"/>
            </w:pPr>
            <w:r/>
            <w:r>
              <w:rPr>
                <w:sz w:val="20"/>
              </w:rPr>
              <w:t>30</w:t>
            </w:r>
          </w:p>
        </w:tc>
        <w:tc>
          <w:tcPr>
            <w:tcW w:type="dxa" w:w="1882"/>
            <w:vAlign w:val="center"/>
          </w:tcPr>
          <w:p>
            <w:pPr>
              <w:spacing w:after="0"/>
              <w:jc w:val="center"/>
            </w:pPr>
            <w:r/>
            <w:r>
              <w:rPr>
                <w:sz w:val="20"/>
              </w:rPr>
              <w:t>20</w:t>
            </w:r>
          </w:p>
        </w:tc>
        <w:tc>
          <w:tcPr>
            <w:tcW w:type="dxa" w:w="1882"/>
            <w:vAlign w:val="center"/>
          </w:tcPr>
          <w:p>
            <w:pPr>
              <w:spacing w:after="0"/>
              <w:jc w:val="center"/>
            </w:pPr>
            <w:r/>
            <w:r>
              <w:rPr>
                <w:sz w:val="20"/>
              </w:rPr>
              <w:t>71</w:t>
            </w:r>
          </w:p>
        </w:tc>
        <w:tc>
          <w:tcPr>
            <w:tcW w:type="dxa" w:w="1882"/>
            <w:vAlign w:val="center"/>
          </w:tcPr>
          <w:p>
            <w:pPr>
              <w:spacing w:after="0"/>
              <w:jc w:val="center"/>
            </w:pPr>
            <w:r/>
            <w:r>
              <w:rPr>
                <w:sz w:val="20"/>
              </w:rPr>
              <w:t>0.014</w:t>
            </w:r>
          </w:p>
        </w:tc>
      </w:tr>
      <w:tr>
        <w:tc>
          <w:tcPr>
            <w:tcW w:type="dxa" w:w="1882"/>
            <w:vAlign w:val="center"/>
            <w:shd w:val="clear" w:color="auto" w:fill="F5EBE7"/>
          </w:tcPr>
          <w:p>
            <w:pPr>
              <w:spacing w:after="0"/>
              <w:jc w:val="center"/>
            </w:pPr>
            <w:r/>
            <w:r>
              <w:rPr>
                <w:sz w:val="20"/>
              </w:rPr>
              <w:t>4</w:t>
            </w:r>
          </w:p>
        </w:tc>
        <w:tc>
          <w:tcPr>
            <w:tcW w:type="dxa" w:w="1882"/>
            <w:vAlign w:val="center"/>
            <w:shd w:val="clear" w:color="auto" w:fill="F5EBE7"/>
          </w:tcPr>
          <w:p>
            <w:pPr>
              <w:spacing w:after="0"/>
              <w:jc w:val="center"/>
            </w:pPr>
            <w:r/>
            <w:r>
              <w:rPr>
                <w:sz w:val="20"/>
              </w:rPr>
              <w:t>20</w:t>
            </w:r>
          </w:p>
        </w:tc>
        <w:tc>
          <w:tcPr>
            <w:tcW w:type="dxa" w:w="1882"/>
            <w:vAlign w:val="center"/>
            <w:shd w:val="clear" w:color="auto" w:fill="F5EBE7"/>
          </w:tcPr>
          <w:p>
            <w:pPr>
              <w:spacing w:after="0"/>
              <w:jc w:val="center"/>
            </w:pPr>
            <w:r/>
            <w:r>
              <w:rPr>
                <w:sz w:val="20"/>
              </w:rPr>
              <w:t>30</w:t>
            </w:r>
          </w:p>
        </w:tc>
        <w:tc>
          <w:tcPr>
            <w:tcW w:type="dxa" w:w="1882"/>
            <w:vAlign w:val="center"/>
            <w:shd w:val="clear" w:color="auto" w:fill="F5EBE7"/>
          </w:tcPr>
          <w:p>
            <w:pPr>
              <w:spacing w:after="0"/>
              <w:jc w:val="center"/>
            </w:pPr>
            <w:r/>
            <w:r>
              <w:rPr>
                <w:sz w:val="20"/>
              </w:rPr>
              <w:t>108</w:t>
            </w:r>
          </w:p>
        </w:tc>
        <w:tc>
          <w:tcPr>
            <w:tcW w:type="dxa" w:w="1882"/>
            <w:vAlign w:val="center"/>
            <w:shd w:val="clear" w:color="auto" w:fill="F5EBE7"/>
          </w:tcPr>
          <w:p>
            <w:pPr>
              <w:spacing w:after="0"/>
              <w:jc w:val="center"/>
            </w:pPr>
            <w:r/>
            <w:r>
              <w:rPr>
                <w:sz w:val="20"/>
              </w:rPr>
              <w:t>0.009</w:t>
            </w:r>
          </w:p>
        </w:tc>
      </w:tr>
      <w:tr>
        <w:tc>
          <w:tcPr>
            <w:tcW w:type="dxa" w:w="1882"/>
            <w:vAlign w:val="center"/>
          </w:tcPr>
          <w:p>
            <w:pPr>
              <w:spacing w:after="0"/>
              <w:jc w:val="center"/>
            </w:pPr>
            <w:r/>
            <w:r>
              <w:rPr>
                <w:sz w:val="20"/>
              </w:rPr>
              <w:t>5</w:t>
            </w:r>
          </w:p>
        </w:tc>
        <w:tc>
          <w:tcPr>
            <w:tcW w:type="dxa" w:w="1882"/>
            <w:vAlign w:val="center"/>
          </w:tcPr>
          <w:p>
            <w:pPr>
              <w:spacing w:after="0"/>
              <w:jc w:val="center"/>
            </w:pPr>
            <w:r/>
            <w:r>
              <w:rPr>
                <w:sz w:val="20"/>
              </w:rPr>
              <w:t>10</w:t>
            </w:r>
          </w:p>
        </w:tc>
        <w:tc>
          <w:tcPr>
            <w:tcW w:type="dxa" w:w="1882"/>
            <w:vAlign w:val="center"/>
          </w:tcPr>
          <w:p>
            <w:pPr>
              <w:spacing w:after="0"/>
              <w:jc w:val="center"/>
            </w:pPr>
            <w:r/>
            <w:r>
              <w:rPr>
                <w:sz w:val="20"/>
              </w:rPr>
              <w:t>40</w:t>
            </w:r>
          </w:p>
        </w:tc>
        <w:tc>
          <w:tcPr>
            <w:tcW w:type="dxa" w:w="1882"/>
            <w:vAlign w:val="center"/>
          </w:tcPr>
          <w:p>
            <w:pPr>
              <w:spacing w:after="0"/>
              <w:jc w:val="center"/>
            </w:pPr>
            <w:r/>
            <w:r>
              <w:rPr>
                <w:sz w:val="20"/>
              </w:rPr>
              <w:t>215</w:t>
            </w:r>
          </w:p>
        </w:tc>
        <w:tc>
          <w:tcPr>
            <w:tcW w:type="dxa" w:w="1882"/>
            <w:vAlign w:val="center"/>
          </w:tcPr>
          <w:p>
            <w:pPr>
              <w:spacing w:after="0"/>
              <w:jc w:val="center"/>
            </w:pPr>
            <w:r/>
            <w:r>
              <w:rPr>
                <w:sz w:val="20"/>
              </w:rPr>
              <w:t>0.005</w:t>
            </w:r>
          </w:p>
        </w:tc>
      </w:tr>
    </w:tbl>
    <w:p>
      <w:pPr>
        <w:spacing w:after="80"/>
      </w:pPr>
    </w:p>
    <w:p>
      <w:pPr>
        <w:pStyle w:val="Caption"/>
        <w:jc w:val="center"/>
      </w:pPr>
      <w:r>
        <w:t>Observation table (sample readings — replace with your own)</w:t>
      </w:r>
    </w:p>
    <w:p>
      <w:pPr>
        <w:pStyle w:val="Heading3"/>
      </w:pPr>
      <w:r>
        <w:t>Result</w:t>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412"/>
      </w:tblGrid>
      <w:tr>
        <w:tc>
          <w:tcPr>
            <w:tcW w:type="dxa" w:w="9411"/>
            <w:shd w:val="clear" w:color="auto" w:fill="F5EBE7"/>
            <w:tcBorders>
              <w:left w:val="single" w:sz="36" w:space="0" w:color="9A3412"/>
            </w:tcBorders>
          </w:tcPr>
          <w:p>
            <w:pPr>
              <w:spacing w:after="60"/>
            </w:pPr>
            <w:r>
              <w:rPr>
                <w:b/>
                <w:color w:val="9A3412"/>
              </w:rPr>
              <w:t>Result</w:t>
            </w:r>
          </w:p>
          <w:p>
            <w:pPr>
              <w:spacing w:after="0"/>
            </w:pPr>
            <w:r>
              <w:t>The rate of reaction increases with the concentration of sodium thiosulphate; the graph of concentration against 1/t is a straight line (sample result).</w:t>
            </w:r>
          </w:p>
        </w:tc>
      </w:tr>
    </w:tbl>
    <w:p>
      <w:pPr>
        <w:spacing w:after="40"/>
      </w:pPr>
    </w:p>
    <w:p>
      <w:pPr>
        <w:pStyle w:val="Heading3"/>
      </w:pPr>
      <w:r>
        <w:t>Precautions</w:t>
      </w:r>
    </w:p>
    <w:p>
      <w:pPr>
        <w:pStyle w:val="ListBullet"/>
      </w:pPr>
      <w:r>
        <w:t>Use the same flask and cross for all readings.</w:t>
      </w:r>
    </w:p>
    <w:p>
      <w:pPr>
        <w:pStyle w:val="ListBullet"/>
      </w:pPr>
      <w:r>
        <w:t>Start the stopwatch as soon as the acid is added.</w:t>
      </w:r>
    </w:p>
    <w:p>
      <w:pPr>
        <w:pStyle w:val="ListBullet"/>
      </w:pPr>
      <w:r>
        <w:t>Keep the temperature constant.</w:t>
      </w:r>
    </w:p>
    <w:p>
      <w:pPr>
        <w:pStyle w:val="Heading1"/>
      </w:pPr>
      <w:r>
        <w:t>Bibliography</w:t>
      </w:r>
    </w:p>
    <w:p>
      <w:pPr>
        <w:pStyle w:val="ListBullet"/>
      </w:pPr>
      <w:r>
        <w:t>Laboratory manual issued by the department / school.</w:t>
      </w:r>
    </w:p>
    <w:p>
      <w:pPr>
        <w:pStyle w:val="ListBullet"/>
      </w:pPr>
      <w:r>
        <w:t>Prescribed textbook for the subject (latest edition).</w:t>
      </w:r>
    </w:p>
    <w:p>
      <w:pPr>
        <w:pStyle w:val="ListBullet"/>
      </w:pPr>
      <w:r>
        <w:t>Class notes and practical demonstrations by the subject teacher.</w:t>
      </w:r>
    </w:p>
    <w:sectPr w:rsidR="00FC693F" w:rsidRPr="0006063C" w:rsidSect="00034616">
      <w:headerReference w:type="default" r:id="rId9"/>
      <w:footerReference w:type="default" r:id="rId10"/>
      <w:pgSz w:w="11906" w:h="16838"/>
      <w:pgMar w:top="1185" w:right="1247" w:bottom="1185"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2706F"/>
        <w:sz w:val="18"/>
      </w:rPr>
      <w:t xml:space="preserve">Page </w:t>
    </w:r>
    <w:r>
      <w:rPr>
        <w:color w:val="72706F"/>
        <w:sz w:val="18"/>
      </w:rPr>
      <w:fldChar w:fldCharType="begin"/>
    </w:r>
    <w:r>
      <w:rPr>
        <w:color w:val="72706F"/>
        <w:sz w:val="18"/>
      </w:rPr>
      <w:instrText xml:space="preserve"> PAGE </w:instrText>
    </w:r>
    <w:r>
      <w:rPr>
        <w:color w:val="72706F"/>
        <w:sz w:val="18"/>
      </w:rPr>
      <w:fldChar w:fldCharType="separate"/>
    </w:r>
    <w:r>
      <w:rPr>
        <w:color w:val="72706F"/>
        <w:sz w:val="18"/>
      </w:rPr>
      <w:t>1</w:t>
    </w:r>
    <w:r>
      <w:rPr>
        <w:color w:val="72706F"/>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411" w:val="right"/>
      </w:tabs>
      <w:pBdr>
        <w:bottom w:val="single" w:sz="4" w:space="6" w:color="CDCCCC"/>
      </w:pBdr>
    </w:pPr>
    <w:r/>
    <w:r>
      <w:rPr>
        <w:caps/>
        <w:color w:val="72706F"/>
        <w:sz w:val="17"/>
      </w:rPr>
      <w:t>Chemistry Practical File</w:t>
    </w:r>
    <w:r>
      <w:rPr>
        <w:color w:val="72706F"/>
        <w:sz w:val="17"/>
      </w:rPr>
      <w:tab/>
      <w:t>Class XII – B</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Nunito Sans" w:hAnsi="Nunito Sans" w:cs="Nunito Sans" w:eastAsia="Nunito Sans"/>
      <w:color w:val="1C1917"/>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outlineLvl w:val="0"/>
    </w:pPr>
    <w:rPr>
      <w:rFonts w:ascii="Outfit" w:hAnsi="Outfit" w:cs="Outfit" w:eastAsia="Outfit"/>
      <w:b/>
      <w:bCs/>
      <w:i w:val="0"/>
      <w:color w:val="1C1917"/>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Outfit" w:hAnsi="Outfit" w:cs="Outfit" w:eastAsia="Outfit"/>
      <w:b/>
      <w:bCs/>
      <w:i w:val="0"/>
      <w:color w:val="9A3412"/>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Outfit" w:hAnsi="Outfit" w:cs="Outfit" w:eastAsia="Outfit"/>
      <w:b/>
      <w:bCs/>
      <w:i w:val="0"/>
      <w:color w:val="1C1917"/>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Outfit" w:hAnsi="Outfit" w:cs="Outfit" w:eastAsia="Outfit"/>
      <w:b/>
      <w:color w:val="1C1917"/>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Nunito Sans" w:hAnsi="Nunito Sans" w:cs="Nunito Sans" w:eastAsia="Nunito Sans"/>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Outfit" w:hAnsi="Outfit" w:cs="Outfit" w:eastAsia="Outfit"/>
      <w:i/>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Nunito Sans" w:hAnsi="Nunito Sans" w:cs="Nunito Sans" w:eastAsia="Nunito Sans"/>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Nunito Sans" w:hAnsi="Nunito Sans" w:cs="Nunito Sans" w:eastAsia="Nunito Sans"/>
      <w:b/>
      <w:sz w:val="24"/>
      <w:szCs w:val="24"/>
    </w:rPr>
  </w:style>
  <w:style w:type="paragraph" w:customStyle="1" w:styleId="TOC2">
    <w:name w:val="TOC 2"/>
    <w:basedOn w:val="Normal"/>
    <w:pPr>
      <w:tabs>
        <w:tab w:pos="9411" w:val="right" w:leader="dot"/>
      </w:tabs>
      <w:spacing w:after="80"/>
      <w:ind w:left="340"/>
    </w:pPr>
    <w:rPr>
      <w:rFonts w:ascii="Nunito Sans" w:hAnsi="Nunito Sans" w:cs="Nunito Sans" w:eastAsia="Nunito Sans"/>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