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F2328"/>
          <w:sz w:val="28"/>
          <w:spacing w:val="20"/>
        </w:rPr>
        <w:t>Your Institute of Technology, Nagpur</w:t>
      </w:r>
    </w:p>
    <w:p>
      <w:pPr>
        <w:jc w:val="center"/>
      </w:pPr>
      <w:r>
        <w:rPr>
          <w:b w:val="0"/>
          <w:i w:val="0"/>
          <w:color w:val="74777A"/>
          <w:sz w:val="22"/>
        </w:rPr>
        <w:t>Department of Applied Physics</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55E75"/>
          <w:left w:val="thinThickThinMediumGap" w:sz="24" w:space="0" w:color="155E75"/>
          <w:bottom w:val="thinThickThinMediumGap" w:sz="24" w:space="0" w:color="155E75"/>
          <w:right w:val="thinThickThinMediumGap" w:sz="24" w:space="0" w:color="155E75"/>
        </w:tblBorders>
      </w:tblPr>
      <w:tblGrid>
        <w:gridCol w:w="1462"/>
      </w:tblGrid>
      <w:tr>
        <w:trPr>
          <w:trHeight w:val="1463" w:hRule="exact"/>
        </w:trPr>
        <w:tc>
          <w:tcPr>
            <w:tcW w:type="dxa" w:w="1463"/>
            <w:shd w:val="clear" w:color="auto" w:fill="E8EFF1"/>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55E75"/>
                <w:left w:val="single" w:sz="8" w:space="0" w:color="155E75"/>
                <w:bottom w:val="single" w:sz="8" w:space="0" w:color="155E75"/>
                <w:right w:val="single" w:sz="8" w:space="0" w:color="155E75"/>
              </w:tblBorders>
            </w:tblPr>
            <w:tblGrid>
              <w:gridCol w:w="884"/>
            </w:tblGrid>
            <w:tr>
              <w:trPr>
                <w:trHeight w:val="884" w:hRule="exact"/>
              </w:trPr>
              <w:tc>
                <w:tcPr>
                  <w:tcW w:type="dxa" w:w="884"/>
                  <w:shd w:val="clear" w:color="auto" w:fill="CCDCE1"/>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55E75"/>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4777A"/>
          <w:sz w:val="24"/>
        </w:rPr>
        <w:t>A Practical File on</w:t>
      </w:r>
    </w:p>
    <w:p>
      <w:pPr>
        <w:pStyle w:val="Title"/>
        <w:jc w:val="center"/>
      </w:pPr>
      <w:r>
        <w:rPr>
          <w:color w:val="155E75"/>
        </w:rPr>
        <w:t>Engineering Physics Practical File</w:t>
      </w:r>
    </w:p>
    <w:p>
      <w:pPr>
        <w:jc w:val="center"/>
      </w:pPr>
      <w:r>
        <w:rPr>
          <w:b w:val="0"/>
          <w:i w:val="0"/>
          <w:color w:val="1F2328"/>
          <w:sz w:val="24"/>
        </w:rPr>
        <w:t>B.Tech First Year · Laboratory record</w:t>
      </w:r>
    </w:p>
    <w:p>
      <w:pPr>
        <w:spacing w:after="360"/>
        <w:jc w:val="center"/>
      </w:pPr>
      <w:r>
        <w:rPr>
          <w:b w:val="0"/>
          <w:i w:val="0"/>
          <w:color w:val="74777A"/>
          <w:sz w:val="21"/>
        </w:rPr>
        <w:t>Submitted in partial fulfilment of the practical examination requirements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213"/>
        <w:gridCol w:w="3213"/>
        <w:gridCol w:w="3213"/>
      </w:tblGrid>
      <w:tr>
        <w:tc>
          <w:tcPr>
            <w:tcW w:type="dxa" w:w="3213"/>
          </w:tcPr>
          <w:p>
            <w:pPr>
              <w:spacing w:after="0"/>
              <w:jc w:val="center"/>
            </w:pPr>
            <w:r>
              <w:rPr>
                <w:b/>
                <w:color w:val="74777A"/>
                <w:sz w:val="16"/>
              </w:rPr>
              <w:t>SUBMITTED BY</w:t>
            </w:r>
          </w:p>
        </w:tc>
        <w:tc>
          <w:tcPr>
            <w:tcW w:type="dxa" w:w="3213"/>
          </w:tcPr>
          <w:p>
            <w:pPr>
              <w:spacing w:after="0"/>
              <w:jc w:val="center"/>
            </w:pPr>
            <w:r>
              <w:rPr>
                <w:b/>
                <w:color w:val="74777A"/>
                <w:sz w:val="16"/>
              </w:rPr>
              <w:t>PROGRAMME</w:t>
            </w:r>
          </w:p>
        </w:tc>
        <w:tc>
          <w:tcPr>
            <w:tcW w:type="dxa" w:w="3213"/>
          </w:tcPr>
          <w:p>
            <w:pPr>
              <w:spacing w:after="0"/>
              <w:jc w:val="center"/>
            </w:pPr>
            <w:r>
              <w:rPr>
                <w:b/>
                <w:color w:val="74777A"/>
                <w:sz w:val="16"/>
              </w:rPr>
              <w:t>SUBMITTED TO</w:t>
            </w:r>
          </w:p>
        </w:tc>
      </w:tr>
      <w:tr>
        <w:tc>
          <w:tcPr>
            <w:tcW w:type="dxa" w:w="3213"/>
          </w:tcPr>
          <w:p>
            <w:pPr>
              <w:spacing w:after="0"/>
              <w:jc w:val="center"/>
            </w:pPr>
            <w:r>
              <w:rPr>
                <w:color w:val="1F2328"/>
                <w:sz w:val="21"/>
              </w:rPr>
              <w:t>Aditya Kumar</w:t>
              <w:br/>
              <w:t>Enrolment No. 25BT0142</w:t>
            </w:r>
          </w:p>
        </w:tc>
        <w:tc>
          <w:tcPr>
            <w:tcW w:type="dxa" w:w="3213"/>
          </w:tcPr>
          <w:p>
            <w:pPr>
              <w:spacing w:after="0"/>
              <w:jc w:val="center"/>
            </w:pPr>
            <w:r>
              <w:rPr>
                <w:color w:val="1F2328"/>
                <w:sz w:val="21"/>
              </w:rPr>
              <w:t>B.Tech I Sem, Section B</w:t>
            </w:r>
          </w:p>
        </w:tc>
        <w:tc>
          <w:tcPr>
            <w:tcW w:type="dxa" w:w="3213"/>
          </w:tcPr>
          <w:p>
            <w:pPr>
              <w:spacing w:after="0"/>
              <w:jc w:val="center"/>
            </w:pPr>
            <w:r>
              <w:rPr>
                <w:color w:val="1F2328"/>
                <w:sz w:val="21"/>
              </w:rPr>
              <w:t>Dr. S. N. Bhat</w:t>
            </w:r>
          </w:p>
        </w:tc>
      </w:tr>
    </w:tbl>
    <w:p>
      <w:pPr>
        <w:spacing w:before="320"/>
        <w:jc w:val="center"/>
      </w:pPr>
      <w:r>
        <w:rPr>
          <w:b/>
          <w:i w:val="0"/>
          <w:color w:val="1F2328"/>
          <w:sz w:val="22"/>
        </w:rPr>
        <w:t>Session 2025–26</w:t>
      </w:r>
    </w:p>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55E75"/>
          <w:left w:val="thinThickSmallGap" w:sz="18" w:space="0" w:color="155E75"/>
          <w:bottom w:val="thinThickSmallGap" w:sz="18" w:space="0" w:color="155E75"/>
          <w:right w:val="thinThickSmallGap" w:sz="18" w:space="0" w:color="155E75"/>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Roboto" w:hAnsi="Roboto" w:cs="Roboto" w:eastAsia="Roboto"/>
                <w:b/>
                <w:color w:val="155E75"/>
                <w:sz w:val="44"/>
              </w:rPr>
              <w:t>CERTIFICATE</w:t>
            </w:r>
          </w:p>
          <w:p>
            <w:pPr>
              <w:spacing w:after="240" w:line="360" w:lineRule="auto"/>
              <w:jc w:val="both"/>
            </w:pPr>
            <w:r>
              <w:t>This is to certify that Aditya Kumar, a student of B.Tech I Sem, Section B, has satisfactorily completed the practical work in Engineering Physics prescribed by the Department of Applied Sciences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Dr. S. N. Bhat</w:t>
                    <w:br/>
                  </w:r>
                  <w:r>
                    <w:rPr>
                      <w:color w:val="74777A"/>
                    </w:rPr>
                    <w:t>Subject Teacher</w:t>
                  </w:r>
                </w:p>
              </w:tc>
              <w:tc>
                <w:tcPr>
                  <w:tcW w:type="dxa" w:w="3213"/>
                </w:tcPr>
                <w:p>
                  <w:pPr>
                    <w:jc w:val="center"/>
                  </w:pPr>
                  <w:r>
                    <w:rPr>
                      <w:b/>
                    </w:rPr>
                    <w:t>External Examiner</w:t>
                    <w:br/>
                  </w:r>
                  <w:r>
                    <w:rPr>
                      <w:color w:val="74777A"/>
                    </w:rPr>
                    <w:t>Date: __________</w:t>
                  </w:r>
                </w:p>
              </w:tc>
              <w:tc>
                <w:tcPr>
                  <w:tcW w:type="dxa" w:w="3213"/>
                </w:tcPr>
                <w:p>
                  <w:pPr>
                    <w:jc w:val="center"/>
                  </w:pPr>
                  <w:r>
                    <w:rPr>
                      <w:b/>
                    </w:rPr>
                    <w:t>Dr. P. Raman</w:t>
                    <w:br/>
                  </w:r>
                  <w:r>
                    <w:rPr>
                      <w:color w:val="74777A"/>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Dr. S. N. Bhat, for guidance and encouragement throughout the practical sessions, and for patiently clearing my doubts in the laboratory.</w:t>
      </w:r>
    </w:p>
    <w:p>
      <w:pPr>
        <w:jc w:val="both"/>
      </w:pPr>
      <w:r>
        <w:t>I am also thankful to Dr. P. Raman,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Aditya Kumar</w:t>
      </w:r>
    </w:p>
    <w:p>
      <w:pPr>
        <w:pStyle w:val="Heading1"/>
      </w:pPr>
      <w:r>
        <w:t>Index</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768"/>
        <w:gridCol w:w="4730"/>
        <w:gridCol w:w="1419"/>
        <w:gridCol w:w="1182"/>
        <w:gridCol w:w="1537"/>
      </w:tblGrid>
      <w:tr>
        <w:trPr>
          <w:tblHeader/>
        </w:trPr>
        <w:tc>
          <w:tcPr>
            <w:tcW w:type="dxa" w:w="769"/>
            <w:vAlign w:val="center"/>
            <w:shd w:val="clear" w:color="auto" w:fill="104658"/>
          </w:tcPr>
          <w:p>
            <w:pPr>
              <w:spacing w:after="0"/>
              <w:jc w:val="center"/>
            </w:pPr>
            <w:r/>
            <w:r>
              <w:rPr>
                <w:b/>
                <w:color w:val="FFFFFF"/>
                <w:sz w:val="19"/>
              </w:rPr>
              <w:t>S. No.</w:t>
            </w:r>
          </w:p>
        </w:tc>
        <w:tc>
          <w:tcPr>
            <w:tcW w:type="dxa" w:w="4730"/>
            <w:vAlign w:val="center"/>
            <w:shd w:val="clear" w:color="auto" w:fill="104658"/>
          </w:tcPr>
          <w:p>
            <w:pPr>
              <w:spacing w:after="0"/>
              <w:jc w:val="left"/>
            </w:pPr>
            <w:r/>
            <w:r>
              <w:rPr>
                <w:b/>
                <w:color w:val="FFFFFF"/>
                <w:sz w:val="19"/>
              </w:rPr>
              <w:t>Name of the Experiment</w:t>
            </w:r>
          </w:p>
        </w:tc>
        <w:tc>
          <w:tcPr>
            <w:tcW w:type="dxa" w:w="1419"/>
            <w:vAlign w:val="center"/>
            <w:shd w:val="clear" w:color="auto" w:fill="104658"/>
          </w:tcPr>
          <w:p>
            <w:pPr>
              <w:spacing w:after="0"/>
              <w:jc w:val="center"/>
            </w:pPr>
            <w:r/>
            <w:r>
              <w:rPr>
                <w:b/>
                <w:color w:val="FFFFFF"/>
                <w:sz w:val="19"/>
              </w:rPr>
              <w:t>Date</w:t>
            </w:r>
          </w:p>
        </w:tc>
        <w:tc>
          <w:tcPr>
            <w:tcW w:type="dxa" w:w="1183"/>
            <w:vAlign w:val="center"/>
            <w:shd w:val="clear" w:color="auto" w:fill="104658"/>
          </w:tcPr>
          <w:p>
            <w:pPr>
              <w:spacing w:after="0"/>
              <w:jc w:val="center"/>
            </w:pPr>
            <w:r/>
            <w:r>
              <w:rPr>
                <w:b/>
                <w:color w:val="FFFFFF"/>
                <w:sz w:val="19"/>
              </w:rPr>
              <w:t>Remarks</w:t>
            </w:r>
          </w:p>
        </w:tc>
        <w:tc>
          <w:tcPr>
            <w:tcW w:type="dxa" w:w="1537"/>
            <w:vAlign w:val="center"/>
            <w:shd w:val="clear" w:color="auto" w:fill="104658"/>
          </w:tcPr>
          <w:p>
            <w:pPr>
              <w:spacing w:after="0"/>
              <w:jc w:val="center"/>
            </w:pPr>
            <w:r/>
            <w:r>
              <w:rPr>
                <w:b/>
                <w:color w:val="FFFFFF"/>
                <w:sz w:val="19"/>
              </w:rPr>
              <w:t>Teacher's Sign</w:t>
            </w:r>
          </w:p>
        </w:tc>
      </w:tr>
      <w:tr>
        <w:tc>
          <w:tcPr>
            <w:tcW w:type="dxa" w:w="769"/>
            <w:vAlign w:val="center"/>
          </w:tcPr>
          <w:p>
            <w:pPr>
              <w:spacing w:after="0"/>
              <w:jc w:val="center"/>
            </w:pPr>
            <w:r/>
            <w:r>
              <w:rPr>
                <w:sz w:val="19"/>
              </w:rPr>
              <w:t>1</w:t>
            </w:r>
          </w:p>
        </w:tc>
        <w:tc>
          <w:tcPr>
            <w:tcW w:type="dxa" w:w="4730"/>
            <w:vAlign w:val="center"/>
          </w:tcPr>
          <w:p>
            <w:pPr>
              <w:spacing w:after="0"/>
              <w:jc w:val="left"/>
            </w:pPr>
            <w:r/>
            <w:r>
              <w:rPr>
                <w:sz w:val="19"/>
              </w:rPr>
              <w:t>Newton's rings</w:t>
            </w:r>
          </w:p>
        </w:tc>
        <w:tc>
          <w:tcPr>
            <w:tcW w:type="dxa" w:w="1419"/>
            <w:vAlign w:val="center"/>
          </w:tcPr>
          <w:p>
            <w:pPr>
              <w:spacing w:after="0"/>
              <w:jc w:val="center"/>
            </w:pPr>
            <w:r/>
            <w:r>
              <w:rPr>
                <w:sz w:val="19"/>
              </w:rPr>
              <w:t>08 Jul 2025</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2</w:t>
            </w:r>
          </w:p>
        </w:tc>
        <w:tc>
          <w:tcPr>
            <w:tcW w:type="dxa" w:w="4730"/>
            <w:vAlign w:val="center"/>
          </w:tcPr>
          <w:p>
            <w:pPr>
              <w:spacing w:after="0"/>
              <w:jc w:val="left"/>
            </w:pPr>
            <w:r/>
            <w:r>
              <w:rPr>
                <w:sz w:val="19"/>
              </w:rPr>
              <w:t>Wavelength using a diffraction grating</w:t>
            </w:r>
          </w:p>
        </w:tc>
        <w:tc>
          <w:tcPr>
            <w:tcW w:type="dxa" w:w="1419"/>
            <w:vAlign w:val="center"/>
          </w:tcPr>
          <w:p>
            <w:pPr>
              <w:spacing w:after="0"/>
              <w:jc w:val="center"/>
            </w:pPr>
            <w:r/>
            <w:r>
              <w:rPr>
                <w:sz w:val="19"/>
              </w:rPr>
              <w:t>22 Jul 2025</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3</w:t>
            </w:r>
          </w:p>
        </w:tc>
        <w:tc>
          <w:tcPr>
            <w:tcW w:type="dxa" w:w="4730"/>
            <w:vAlign w:val="center"/>
          </w:tcPr>
          <w:p>
            <w:pPr>
              <w:spacing w:after="0"/>
              <w:jc w:val="left"/>
            </w:pPr>
            <w:r/>
            <w:r>
              <w:rPr>
                <w:sz w:val="19"/>
              </w:rPr>
              <w:t>Energy band gap of a semiconductor</w:t>
            </w:r>
          </w:p>
        </w:tc>
        <w:tc>
          <w:tcPr>
            <w:tcW w:type="dxa" w:w="1419"/>
            <w:vAlign w:val="center"/>
          </w:tcPr>
          <w:p>
            <w:pPr>
              <w:spacing w:after="0"/>
              <w:jc w:val="center"/>
            </w:pPr>
            <w:r/>
            <w:r>
              <w:rPr>
                <w:sz w:val="19"/>
              </w:rPr>
              <w:t>05 Aug 2025</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Check connections before switching on the supply</w:t>
      </w:r>
    </w:p>
    <w:p>
      <w:pPr>
        <w:pStyle w:val="ListBullet"/>
      </w:pPr>
      <w:r>
        <w:t>Never touch live terminals</w:t>
      </w:r>
    </w:p>
    <w:p>
      <w:pPr>
        <w:pStyle w:val="ListBullet"/>
      </w:pPr>
      <w:r>
        <w:t>Use the correct range on meters</w:t>
      </w:r>
    </w:p>
    <w:p>
      <w:pPr>
        <w:pStyle w:val="ListBullet"/>
      </w:pPr>
      <w:r>
        <w:t>Switch off the supply before changing connections</w:t>
      </w:r>
    </w:p>
    <w:p>
      <w:pPr>
        <w:pStyle w:val="ListBullet"/>
      </w:pPr>
      <w:r>
        <w:t>Keep the work bench dry and tidy</w:t>
      </w:r>
    </w:p>
    <w:p>
      <w:pPr>
        <w:pStyle w:val="Heading1"/>
      </w:pPr>
      <w:r>
        <w:t>Experiment 1: Newton's rings</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213"/>
        <w:gridCol w:w="3213"/>
        <w:gridCol w:w="3213"/>
      </w:tblGrid>
      <w:tr>
        <w:tc>
          <w:tcPr>
            <w:tcW w:type="dxa" w:w="3213"/>
          </w:tcPr>
          <w:p>
            <w:pPr>
              <w:spacing w:after="0"/>
            </w:pPr>
            <w:r>
              <w:rPr>
                <w:b/>
                <w:color w:val="155E75"/>
                <w:sz w:val="19"/>
              </w:rPr>
              <w:t xml:space="preserve">Date: </w:t>
            </w:r>
            <w:r>
              <w:rPr>
                <w:sz w:val="19"/>
              </w:rPr>
              <w:t>08 Jul 2025</w:t>
            </w:r>
          </w:p>
        </w:tc>
        <w:tc>
          <w:tcPr>
            <w:tcW w:type="dxa" w:w="3213"/>
          </w:tcPr>
          <w:p>
            <w:pPr>
              <w:spacing w:after="0"/>
            </w:pPr>
            <w:r>
              <w:rPr>
                <w:b/>
                <w:color w:val="155E75"/>
                <w:sz w:val="19"/>
              </w:rPr>
              <w:t xml:space="preserve">Page No.: </w:t>
            </w:r>
            <w:r>
              <w:rPr>
                <w:sz w:val="19"/>
              </w:rPr>
              <w:t>____</w:t>
            </w:r>
          </w:p>
        </w:tc>
        <w:tc>
          <w:tcPr>
            <w:tcW w:type="dxa" w:w="3213"/>
          </w:tcPr>
          <w:p>
            <w:pPr>
              <w:spacing w:after="0"/>
            </w:pPr>
            <w:r>
              <w:rPr>
                <w:b/>
                <w:color w:val="155E75"/>
                <w:sz w:val="19"/>
              </w:rPr>
              <w:t xml:space="preserve">Teacher's sign: </w:t>
            </w:r>
            <w:r>
              <w:rPr>
                <w:sz w:val="19"/>
              </w:rPr>
              <w:t>__________</w:t>
            </w:r>
          </w:p>
        </w:tc>
      </w:tr>
    </w:tbl>
    <w:p>
      <w:pPr>
        <w:spacing w:after="80"/>
      </w:pPr>
    </w:p>
    <w:p>
      <w:pPr>
        <w:pStyle w:val="Heading3"/>
      </w:pPr>
      <w:r>
        <w:t>Aim</w:t>
      </w:r>
    </w:p>
    <w:p>
      <w:r>
        <w:t>To determine the wavelength of sodium light by Newton's rings.</w:t>
      </w:r>
    </w:p>
    <w:p>
      <w:pPr>
        <w:pStyle w:val="Heading3"/>
      </w:pPr>
      <w:r>
        <w:t>Apparatus / Materials Required</w:t>
      </w:r>
    </w:p>
    <w:p>
      <w:pPr>
        <w:pStyle w:val="ListBullet"/>
      </w:pPr>
      <w:r>
        <w:t>Plano-convex lens of large radius and optically flat glass plate</w:t>
      </w:r>
    </w:p>
    <w:p>
      <w:pPr>
        <w:pStyle w:val="ListBullet"/>
      </w:pPr>
      <w:r>
        <w:t>Sodium vapour lamp</w:t>
      </w:r>
    </w:p>
    <w:p>
      <w:pPr>
        <w:pStyle w:val="ListBullet"/>
      </w:pPr>
      <w:r>
        <w:t>Travelling microscope and glass plate inclined at 45°</w:t>
      </w:r>
    </w:p>
    <w:p>
      <w:pPr>
        <w:pStyle w:val="ListBullet"/>
      </w:pPr>
      <w:r>
        <w:t>Spherometer</w:t>
      </w:r>
    </w:p>
    <w:p>
      <w:pPr>
        <w:pStyle w:val="Heading3"/>
      </w:pPr>
      <w:r>
        <w:t>Theory</w:t>
      </w:r>
    </w:p>
    <w:p>
      <w:pPr>
        <w:jc w:val="both"/>
      </w:pPr>
      <w:r>
        <w:t>When a plano-convex lens rests on a flat glass plate, a thin air film of varying thickness forms between them. Interference between rays reflected from the top and bottom of the film produces concentric dark and bright rings. The diameters of the dark rings are related to the wavelength of light and the radius of curvature of the lens.</w:t>
      </w:r>
    </w:p>
    <w:p>
      <w:pPr>
        <w:spacing w:after="120" w:before="40"/>
        <w:jc w:val="center"/>
      </w:pPr>
      <w:r>
        <w:rPr>
          <w:b/>
          <w:color w:val="155E75"/>
        </w:rPr>
        <w:t>λ = (D²ₙ₊ₚ − D²ₙ) / (4 p R)</w:t>
      </w:r>
    </w:p>
    <w:p>
      <w:pPr>
        <w:pStyle w:val="Heading3"/>
      </w:pPr>
      <w:r>
        <w:t>Procedure</w:t>
      </w:r>
    </w:p>
    <w:p>
      <w:pPr>
        <w:pStyle w:val="ListNumber"/>
      </w:pPr>
      <w:r>
        <w:t>Clean the lens and plate and place them under the microscope with the 45° glass plate.</w:t>
      </w:r>
    </w:p>
    <w:p>
      <w:pPr>
        <w:pStyle w:val="ListNumber"/>
      </w:pPr>
      <w:r>
        <w:t>Illuminate with sodium light and focus the microscope on the rings.</w:t>
      </w:r>
    </w:p>
    <w:p>
      <w:pPr>
        <w:pStyle w:val="ListNumber"/>
      </w:pPr>
      <w:r>
        <w:t>Set the cross-wire on the 16th dark ring on the left and move inward, noting readings for alternate rings.</w:t>
      </w:r>
    </w:p>
    <w:p>
      <w:pPr>
        <w:pStyle w:val="ListNumber"/>
      </w:pPr>
      <w:r>
        <w:t>Continue across the centre to the 16th ring on the right.</w:t>
      </w:r>
    </w:p>
    <w:p>
      <w:pPr>
        <w:pStyle w:val="ListNumber"/>
      </w:pPr>
      <w:r>
        <w:t>Find the diameters and plot D² against ring number.</w:t>
      </w:r>
    </w:p>
    <w:p>
      <w:pPr>
        <w:pStyle w:val="ListNumber"/>
      </w:pPr>
      <w:r>
        <w:t>Measure R with a spherometer.</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04658"/>
          </w:tcPr>
          <w:p>
            <w:pPr>
              <w:spacing w:after="0"/>
              <w:jc w:val="center"/>
            </w:pPr>
            <w:r/>
            <w:r>
              <w:rPr>
                <w:b/>
                <w:color w:val="FFFFFF"/>
                <w:sz w:val="19"/>
              </w:rPr>
              <w:t>Ring no.</w:t>
            </w:r>
          </w:p>
        </w:tc>
        <w:tc>
          <w:tcPr>
            <w:tcW w:type="dxa" w:w="1928"/>
            <w:vAlign w:val="center"/>
            <w:shd w:val="clear" w:color="auto" w:fill="104658"/>
          </w:tcPr>
          <w:p>
            <w:pPr>
              <w:spacing w:after="0"/>
              <w:jc w:val="center"/>
            </w:pPr>
            <w:r/>
            <w:r>
              <w:rPr>
                <w:b/>
                <w:color w:val="FFFFFF"/>
                <w:sz w:val="19"/>
              </w:rPr>
              <w:t>Left (cm)</w:t>
            </w:r>
          </w:p>
        </w:tc>
        <w:tc>
          <w:tcPr>
            <w:tcW w:type="dxa" w:w="1928"/>
            <w:vAlign w:val="center"/>
            <w:shd w:val="clear" w:color="auto" w:fill="104658"/>
          </w:tcPr>
          <w:p>
            <w:pPr>
              <w:spacing w:after="0"/>
              <w:jc w:val="center"/>
            </w:pPr>
            <w:r/>
            <w:r>
              <w:rPr>
                <w:b/>
                <w:color w:val="FFFFFF"/>
                <w:sz w:val="19"/>
              </w:rPr>
              <w:t>Right (cm)</w:t>
            </w:r>
          </w:p>
        </w:tc>
        <w:tc>
          <w:tcPr>
            <w:tcW w:type="dxa" w:w="1928"/>
            <w:vAlign w:val="center"/>
            <w:shd w:val="clear" w:color="auto" w:fill="104658"/>
          </w:tcPr>
          <w:p>
            <w:pPr>
              <w:spacing w:after="0"/>
              <w:jc w:val="center"/>
            </w:pPr>
            <w:r/>
            <w:r>
              <w:rPr>
                <w:b/>
                <w:color w:val="FFFFFF"/>
                <w:sz w:val="19"/>
              </w:rPr>
              <w:t>D (cm)</w:t>
            </w:r>
          </w:p>
        </w:tc>
        <w:tc>
          <w:tcPr>
            <w:tcW w:type="dxa" w:w="1928"/>
            <w:vAlign w:val="center"/>
            <w:shd w:val="clear" w:color="auto" w:fill="104658"/>
          </w:tcPr>
          <w:p>
            <w:pPr>
              <w:spacing w:after="0"/>
              <w:jc w:val="center"/>
            </w:pPr>
            <w:r/>
            <w:r>
              <w:rPr>
                <w:b/>
                <w:color w:val="FFFFFF"/>
                <w:sz w:val="19"/>
              </w:rPr>
              <w:t>D² (cm²)</w:t>
            </w:r>
          </w:p>
        </w:tc>
      </w:tr>
      <w:tr>
        <w:tc>
          <w:tcPr>
            <w:tcW w:type="dxa" w:w="1928"/>
            <w:vAlign w:val="center"/>
          </w:tcPr>
          <w:p>
            <w:pPr>
              <w:spacing w:after="0"/>
              <w:jc w:val="center"/>
            </w:pPr>
            <w:r/>
            <w:r>
              <w:rPr>
                <w:sz w:val="19"/>
              </w:rPr>
              <w:t>16</w:t>
            </w:r>
          </w:p>
        </w:tc>
        <w:tc>
          <w:tcPr>
            <w:tcW w:type="dxa" w:w="1928"/>
            <w:vAlign w:val="center"/>
          </w:tcPr>
          <w:p>
            <w:pPr>
              <w:spacing w:after="0"/>
              <w:jc w:val="center"/>
            </w:pPr>
            <w:r/>
            <w:r>
              <w:rPr>
                <w:sz w:val="19"/>
              </w:rPr>
              <w:t>5.412</w:t>
            </w:r>
          </w:p>
        </w:tc>
        <w:tc>
          <w:tcPr>
            <w:tcW w:type="dxa" w:w="1928"/>
            <w:vAlign w:val="center"/>
          </w:tcPr>
          <w:p>
            <w:pPr>
              <w:spacing w:after="0"/>
              <w:jc w:val="center"/>
            </w:pPr>
            <w:r/>
            <w:r>
              <w:rPr>
                <w:sz w:val="19"/>
              </w:rPr>
              <w:t>4.892</w:t>
            </w:r>
          </w:p>
        </w:tc>
        <w:tc>
          <w:tcPr>
            <w:tcW w:type="dxa" w:w="1928"/>
            <w:vAlign w:val="center"/>
          </w:tcPr>
          <w:p>
            <w:pPr>
              <w:spacing w:after="0"/>
              <w:jc w:val="center"/>
            </w:pPr>
            <w:r/>
            <w:r>
              <w:rPr>
                <w:sz w:val="19"/>
              </w:rPr>
              <w:t>0.520</w:t>
            </w:r>
          </w:p>
        </w:tc>
        <w:tc>
          <w:tcPr>
            <w:tcW w:type="dxa" w:w="1928"/>
            <w:vAlign w:val="center"/>
          </w:tcPr>
          <w:p>
            <w:pPr>
              <w:spacing w:after="0"/>
              <w:jc w:val="center"/>
            </w:pPr>
            <w:r/>
            <w:r>
              <w:rPr>
                <w:sz w:val="19"/>
              </w:rPr>
              <w:t>0.2704</w:t>
            </w:r>
          </w:p>
        </w:tc>
      </w:tr>
      <w:tr>
        <w:tc>
          <w:tcPr>
            <w:tcW w:type="dxa" w:w="1928"/>
            <w:vAlign w:val="center"/>
            <w:shd w:val="clear" w:color="auto" w:fill="E8EFF1"/>
          </w:tcPr>
          <w:p>
            <w:pPr>
              <w:spacing w:after="0"/>
              <w:jc w:val="center"/>
            </w:pPr>
            <w:r/>
            <w:r>
              <w:rPr>
                <w:sz w:val="19"/>
              </w:rPr>
              <w:t>12</w:t>
            </w:r>
          </w:p>
        </w:tc>
        <w:tc>
          <w:tcPr>
            <w:tcW w:type="dxa" w:w="1928"/>
            <w:vAlign w:val="center"/>
            <w:shd w:val="clear" w:color="auto" w:fill="E8EFF1"/>
          </w:tcPr>
          <w:p>
            <w:pPr>
              <w:spacing w:after="0"/>
              <w:jc w:val="center"/>
            </w:pPr>
            <w:r/>
            <w:r>
              <w:rPr>
                <w:sz w:val="19"/>
              </w:rPr>
              <w:t>5.380</w:t>
            </w:r>
          </w:p>
        </w:tc>
        <w:tc>
          <w:tcPr>
            <w:tcW w:type="dxa" w:w="1928"/>
            <w:vAlign w:val="center"/>
            <w:shd w:val="clear" w:color="auto" w:fill="E8EFF1"/>
          </w:tcPr>
          <w:p>
            <w:pPr>
              <w:spacing w:after="0"/>
              <w:jc w:val="center"/>
            </w:pPr>
            <w:r/>
            <w:r>
              <w:rPr>
                <w:sz w:val="19"/>
              </w:rPr>
              <w:t>4.928</w:t>
            </w:r>
          </w:p>
        </w:tc>
        <w:tc>
          <w:tcPr>
            <w:tcW w:type="dxa" w:w="1928"/>
            <w:vAlign w:val="center"/>
            <w:shd w:val="clear" w:color="auto" w:fill="E8EFF1"/>
          </w:tcPr>
          <w:p>
            <w:pPr>
              <w:spacing w:after="0"/>
              <w:jc w:val="center"/>
            </w:pPr>
            <w:r/>
            <w:r>
              <w:rPr>
                <w:sz w:val="19"/>
              </w:rPr>
              <w:t>0.452</w:t>
            </w:r>
          </w:p>
        </w:tc>
        <w:tc>
          <w:tcPr>
            <w:tcW w:type="dxa" w:w="1928"/>
            <w:vAlign w:val="center"/>
            <w:shd w:val="clear" w:color="auto" w:fill="E8EFF1"/>
          </w:tcPr>
          <w:p>
            <w:pPr>
              <w:spacing w:after="0"/>
              <w:jc w:val="center"/>
            </w:pPr>
            <w:r/>
            <w:r>
              <w:rPr>
                <w:sz w:val="19"/>
              </w:rPr>
              <w:t>0.2043</w:t>
            </w:r>
          </w:p>
        </w:tc>
      </w:tr>
      <w:tr>
        <w:tc>
          <w:tcPr>
            <w:tcW w:type="dxa" w:w="1928"/>
            <w:vAlign w:val="center"/>
          </w:tcPr>
          <w:p>
            <w:pPr>
              <w:spacing w:after="0"/>
              <w:jc w:val="center"/>
            </w:pPr>
            <w:r/>
            <w:r>
              <w:rPr>
                <w:sz w:val="19"/>
              </w:rPr>
              <w:t>8</w:t>
            </w:r>
          </w:p>
        </w:tc>
        <w:tc>
          <w:tcPr>
            <w:tcW w:type="dxa" w:w="1928"/>
            <w:vAlign w:val="center"/>
          </w:tcPr>
          <w:p>
            <w:pPr>
              <w:spacing w:after="0"/>
              <w:jc w:val="center"/>
            </w:pPr>
            <w:r/>
            <w:r>
              <w:rPr>
                <w:sz w:val="19"/>
              </w:rPr>
              <w:t>5.341</w:t>
            </w:r>
          </w:p>
        </w:tc>
        <w:tc>
          <w:tcPr>
            <w:tcW w:type="dxa" w:w="1928"/>
            <w:vAlign w:val="center"/>
          </w:tcPr>
          <w:p>
            <w:pPr>
              <w:spacing w:after="0"/>
              <w:jc w:val="center"/>
            </w:pPr>
            <w:r/>
            <w:r>
              <w:rPr>
                <w:sz w:val="19"/>
              </w:rPr>
              <w:t>4.969</w:t>
            </w:r>
          </w:p>
        </w:tc>
        <w:tc>
          <w:tcPr>
            <w:tcW w:type="dxa" w:w="1928"/>
            <w:vAlign w:val="center"/>
          </w:tcPr>
          <w:p>
            <w:pPr>
              <w:spacing w:after="0"/>
              <w:jc w:val="center"/>
            </w:pPr>
            <w:r/>
            <w:r>
              <w:rPr>
                <w:sz w:val="19"/>
              </w:rPr>
              <w:t>0.372</w:t>
            </w:r>
          </w:p>
        </w:tc>
        <w:tc>
          <w:tcPr>
            <w:tcW w:type="dxa" w:w="1928"/>
            <w:vAlign w:val="center"/>
          </w:tcPr>
          <w:p>
            <w:pPr>
              <w:spacing w:after="0"/>
              <w:jc w:val="center"/>
            </w:pPr>
            <w:r/>
            <w:r>
              <w:rPr>
                <w:sz w:val="19"/>
              </w:rPr>
              <w:t>0.1384</w:t>
            </w:r>
          </w:p>
        </w:tc>
      </w:tr>
      <w:tr>
        <w:tc>
          <w:tcPr>
            <w:tcW w:type="dxa" w:w="1928"/>
            <w:vAlign w:val="center"/>
            <w:shd w:val="clear" w:color="auto" w:fill="E8EFF1"/>
          </w:tcPr>
          <w:p>
            <w:pPr>
              <w:spacing w:after="0"/>
              <w:jc w:val="center"/>
            </w:pPr>
            <w:r/>
            <w:r>
              <w:rPr>
                <w:sz w:val="19"/>
              </w:rPr>
              <w:t>4</w:t>
            </w:r>
          </w:p>
        </w:tc>
        <w:tc>
          <w:tcPr>
            <w:tcW w:type="dxa" w:w="1928"/>
            <w:vAlign w:val="center"/>
            <w:shd w:val="clear" w:color="auto" w:fill="E8EFF1"/>
          </w:tcPr>
          <w:p>
            <w:pPr>
              <w:spacing w:after="0"/>
              <w:jc w:val="center"/>
            </w:pPr>
            <w:r/>
            <w:r>
              <w:rPr>
                <w:sz w:val="19"/>
              </w:rPr>
              <w:t>5.290</w:t>
            </w:r>
          </w:p>
        </w:tc>
        <w:tc>
          <w:tcPr>
            <w:tcW w:type="dxa" w:w="1928"/>
            <w:vAlign w:val="center"/>
            <w:shd w:val="clear" w:color="auto" w:fill="E8EFF1"/>
          </w:tcPr>
          <w:p>
            <w:pPr>
              <w:spacing w:after="0"/>
              <w:jc w:val="center"/>
            </w:pPr>
            <w:r/>
            <w:r>
              <w:rPr>
                <w:sz w:val="19"/>
              </w:rPr>
              <w:t>5.023</w:t>
            </w:r>
          </w:p>
        </w:tc>
        <w:tc>
          <w:tcPr>
            <w:tcW w:type="dxa" w:w="1928"/>
            <w:vAlign w:val="center"/>
            <w:shd w:val="clear" w:color="auto" w:fill="E8EFF1"/>
          </w:tcPr>
          <w:p>
            <w:pPr>
              <w:spacing w:after="0"/>
              <w:jc w:val="center"/>
            </w:pPr>
            <w:r/>
            <w:r>
              <w:rPr>
                <w:sz w:val="19"/>
              </w:rPr>
              <w:t>0.267</w:t>
            </w:r>
          </w:p>
        </w:tc>
        <w:tc>
          <w:tcPr>
            <w:tcW w:type="dxa" w:w="1928"/>
            <w:vAlign w:val="center"/>
            <w:shd w:val="clear" w:color="auto" w:fill="E8EFF1"/>
          </w:tcPr>
          <w:p>
            <w:pPr>
              <w:spacing w:after="0"/>
              <w:jc w:val="center"/>
            </w:pPr>
            <w:r/>
            <w:r>
              <w:rPr>
                <w:sz w:val="19"/>
              </w:rPr>
              <w:t>0.0713</w:t>
            </w:r>
          </w:p>
        </w:tc>
      </w:tr>
    </w:tbl>
    <w:p>
      <w:pPr>
        <w:spacing w:after="80"/>
      </w:pPr>
    </w:p>
    <w:p>
      <w:pPr>
        <w:pStyle w:val="Caption"/>
        <w:jc w:val="center"/>
      </w:pPr>
      <w:r>
        <w:t>Observation table (sample readings — replace with your own)</w:t>
      </w:r>
    </w:p>
    <w:p>
      <w:pPr>
        <w:pStyle w:val="Heading3"/>
      </w:pPr>
      <w:r>
        <w:t>Calculations</w:t>
      </w:r>
    </w:p>
    <w:p>
      <w:r>
        <w:t>Slope of D² vs n = 0.0166 cm² per ring; R = 70 cm (sample).</w:t>
      </w:r>
    </w:p>
    <w:p>
      <w:r>
        <w:t>λ = slope / 4R = 5.93 × 10⁻⁵ cm = 593 nm.</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Result</w:t>
            </w:r>
          </w:p>
          <w:p>
            <w:pPr>
              <w:spacing w:after="0"/>
            </w:pPr>
            <w:r>
              <w:t>Wavelength of sodium light = 593 nm (sample result; standard value 589 nm).</w:t>
            </w:r>
          </w:p>
        </w:tc>
      </w:tr>
    </w:tbl>
    <w:p>
      <w:pPr>
        <w:spacing w:after="40"/>
      </w:pPr>
    </w:p>
    <w:p>
      <w:pPr>
        <w:pStyle w:val="Heading3"/>
      </w:pPr>
      <w:r>
        <w:t>Precautions</w:t>
      </w:r>
    </w:p>
    <w:p>
      <w:pPr>
        <w:pStyle w:val="ListBullet"/>
      </w:pPr>
      <w:r>
        <w:t>The lens and plate must be clean and dust-free.</w:t>
      </w:r>
    </w:p>
    <w:p>
      <w:pPr>
        <w:pStyle w:val="ListBullet"/>
      </w:pPr>
      <w:r>
        <w:t>The microscope should move in one direction only to avoid backlash error.</w:t>
      </w:r>
    </w:p>
    <w:p>
      <w:pPr>
        <w:pStyle w:val="Heading3"/>
      </w:pPr>
      <w:r>
        <w:t>Viva Questions</w:t>
      </w:r>
    </w:p>
    <w:p>
      <w:pPr>
        <w:keepNext/>
        <w:spacing w:after="20"/>
      </w:pPr>
      <w:r>
        <w:rPr>
          <w:b/>
          <w:color w:val="155E75"/>
        </w:rPr>
        <w:t xml:space="preserve">Q1. </w:t>
      </w:r>
      <w:r>
        <w:rPr>
          <w:b/>
        </w:rPr>
        <w:t>Why is the centre of the ring pattern dark?</w:t>
      </w:r>
    </w:p>
    <w:p>
      <w:pPr>
        <w:spacing w:after="120"/>
      </w:pPr>
      <w:r>
        <w:rPr>
          <w:color w:val="1F2328"/>
        </w:rPr>
        <w:t>At the point of contact the film thickness is zero and the reflected ray undergoes a phase change of π, so the waves interfere destructively.</w:t>
      </w:r>
    </w:p>
    <w:p>
      <w:pPr>
        <w:pStyle w:val="Heading1"/>
      </w:pPr>
      <w:r>
        <w:t>Experiment 2: Wavelength using a diffraction grating</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213"/>
        <w:gridCol w:w="3213"/>
        <w:gridCol w:w="3213"/>
      </w:tblGrid>
      <w:tr>
        <w:tc>
          <w:tcPr>
            <w:tcW w:type="dxa" w:w="3213"/>
          </w:tcPr>
          <w:p>
            <w:pPr>
              <w:spacing w:after="0"/>
            </w:pPr>
            <w:r>
              <w:rPr>
                <w:b/>
                <w:color w:val="155E75"/>
                <w:sz w:val="19"/>
              </w:rPr>
              <w:t xml:space="preserve">Date: </w:t>
            </w:r>
            <w:r>
              <w:rPr>
                <w:sz w:val="19"/>
              </w:rPr>
              <w:t>22 Jul 2025</w:t>
            </w:r>
          </w:p>
        </w:tc>
        <w:tc>
          <w:tcPr>
            <w:tcW w:type="dxa" w:w="3213"/>
          </w:tcPr>
          <w:p>
            <w:pPr>
              <w:spacing w:after="0"/>
            </w:pPr>
            <w:r>
              <w:rPr>
                <w:b/>
                <w:color w:val="155E75"/>
                <w:sz w:val="19"/>
              </w:rPr>
              <w:t xml:space="preserve">Page No.: </w:t>
            </w:r>
            <w:r>
              <w:rPr>
                <w:sz w:val="19"/>
              </w:rPr>
              <w:t>____</w:t>
            </w:r>
          </w:p>
        </w:tc>
        <w:tc>
          <w:tcPr>
            <w:tcW w:type="dxa" w:w="3213"/>
          </w:tcPr>
          <w:p>
            <w:pPr>
              <w:spacing w:after="0"/>
            </w:pPr>
            <w:r>
              <w:rPr>
                <w:b/>
                <w:color w:val="155E75"/>
                <w:sz w:val="19"/>
              </w:rPr>
              <w:t xml:space="preserve">Teacher's sign: </w:t>
            </w:r>
            <w:r>
              <w:rPr>
                <w:sz w:val="19"/>
              </w:rPr>
              <w:t>__________</w:t>
            </w:r>
          </w:p>
        </w:tc>
      </w:tr>
    </w:tbl>
    <w:p>
      <w:pPr>
        <w:spacing w:after="80"/>
      </w:pPr>
    </w:p>
    <w:p>
      <w:pPr>
        <w:pStyle w:val="Heading3"/>
      </w:pPr>
      <w:r>
        <w:t>Aim</w:t>
      </w:r>
    </w:p>
    <w:p>
      <w:r>
        <w:t>To determine the wavelength of the prominent lines of mercury light using a plane transmission grating.</w:t>
      </w:r>
    </w:p>
    <w:p>
      <w:pPr>
        <w:pStyle w:val="Heading3"/>
      </w:pPr>
      <w:r>
        <w:t>Apparatus / Materials Required</w:t>
      </w:r>
    </w:p>
    <w:p>
      <w:pPr>
        <w:pStyle w:val="ListBullet"/>
      </w:pPr>
      <w:r>
        <w:t>Spectrometer</w:t>
      </w:r>
    </w:p>
    <w:p>
      <w:pPr>
        <w:pStyle w:val="ListBullet"/>
      </w:pPr>
      <w:r>
        <w:t>Plane transmission grating</w:t>
      </w:r>
    </w:p>
    <w:p>
      <w:pPr>
        <w:pStyle w:val="ListBullet"/>
      </w:pPr>
      <w:r>
        <w:t>Mercury vapour lamp</w:t>
      </w:r>
    </w:p>
    <w:p>
      <w:pPr>
        <w:pStyle w:val="ListBullet"/>
      </w:pPr>
      <w:r>
        <w:t>Spirit level and reading lens</w:t>
      </w:r>
    </w:p>
    <w:p>
      <w:pPr>
        <w:pStyle w:val="Heading3"/>
      </w:pPr>
      <w:r>
        <w:t>Theory</w:t>
      </w:r>
    </w:p>
    <w:p>
      <w:pPr>
        <w:jc w:val="both"/>
      </w:pPr>
      <w:r>
        <w:t>A diffraction grating has a large number of equally spaced slits. For normal incidence, bright maxima occur at angles where the path difference between adjacent slits is a whole number of wavelengths.</w:t>
      </w:r>
    </w:p>
    <w:p>
      <w:pPr>
        <w:spacing w:after="120" w:before="40"/>
        <w:jc w:val="center"/>
      </w:pPr>
      <w:r>
        <w:rPr>
          <w:b/>
          <w:color w:val="155E75"/>
        </w:rPr>
        <w:t>(a + b) sin θ = n λ</w:t>
      </w:r>
    </w:p>
    <w:p>
      <w:pPr>
        <w:pStyle w:val="Heading3"/>
      </w:pPr>
      <w:r>
        <w:t>Procedure</w:t>
      </w:r>
    </w:p>
    <w:p>
      <w:pPr>
        <w:pStyle w:val="ListNumber"/>
      </w:pPr>
      <w:r>
        <w:t>Adjust the spectrometer for parallel rays using Schuster's method.</w:t>
      </w:r>
    </w:p>
    <w:p>
      <w:pPr>
        <w:pStyle w:val="ListNumber"/>
      </w:pPr>
      <w:r>
        <w:t>Set the grating normal to the incident light.</w:t>
      </w:r>
    </w:p>
    <w:p>
      <w:pPr>
        <w:pStyle w:val="ListNumber"/>
      </w:pPr>
      <w:r>
        <w:t>Observe the first-order spectrum on both sides and note the readings for each colour.</w:t>
      </w:r>
    </w:p>
    <w:p>
      <w:pPr>
        <w:pStyle w:val="ListNumber"/>
      </w:pPr>
      <w:r>
        <w:t>Calculate the angle of diffraction for each line.</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04658"/>
          </w:tcPr>
          <w:p>
            <w:pPr>
              <w:spacing w:after="0"/>
              <w:jc w:val="center"/>
            </w:pPr>
            <w:r/>
            <w:r>
              <w:rPr>
                <w:b/>
                <w:color w:val="FFFFFF"/>
                <w:sz w:val="19"/>
              </w:rPr>
              <w:t>Colour</w:t>
            </w:r>
          </w:p>
        </w:tc>
        <w:tc>
          <w:tcPr>
            <w:tcW w:type="dxa" w:w="1928"/>
            <w:vAlign w:val="center"/>
            <w:shd w:val="clear" w:color="auto" w:fill="104658"/>
          </w:tcPr>
          <w:p>
            <w:pPr>
              <w:spacing w:after="0"/>
              <w:jc w:val="center"/>
            </w:pPr>
            <w:r/>
            <w:r>
              <w:rPr>
                <w:b/>
                <w:color w:val="FFFFFF"/>
                <w:sz w:val="19"/>
              </w:rPr>
              <w:t>Left reading (°)</w:t>
            </w:r>
          </w:p>
        </w:tc>
        <w:tc>
          <w:tcPr>
            <w:tcW w:type="dxa" w:w="1928"/>
            <w:vAlign w:val="center"/>
            <w:shd w:val="clear" w:color="auto" w:fill="104658"/>
          </w:tcPr>
          <w:p>
            <w:pPr>
              <w:spacing w:after="0"/>
              <w:jc w:val="center"/>
            </w:pPr>
            <w:r/>
            <w:r>
              <w:rPr>
                <w:b/>
                <w:color w:val="FFFFFF"/>
                <w:sz w:val="19"/>
              </w:rPr>
              <w:t>Right reading (°)</w:t>
            </w:r>
          </w:p>
        </w:tc>
        <w:tc>
          <w:tcPr>
            <w:tcW w:type="dxa" w:w="1928"/>
            <w:vAlign w:val="center"/>
            <w:shd w:val="clear" w:color="auto" w:fill="104658"/>
          </w:tcPr>
          <w:p>
            <w:pPr>
              <w:spacing w:after="0"/>
              <w:jc w:val="center"/>
            </w:pPr>
            <w:r/>
            <w:r>
              <w:rPr>
                <w:b/>
                <w:color w:val="FFFFFF"/>
                <w:sz w:val="19"/>
              </w:rPr>
              <w:t>2θ (°)</w:t>
            </w:r>
          </w:p>
        </w:tc>
        <w:tc>
          <w:tcPr>
            <w:tcW w:type="dxa" w:w="1928"/>
            <w:vAlign w:val="center"/>
            <w:shd w:val="clear" w:color="auto" w:fill="104658"/>
          </w:tcPr>
          <w:p>
            <w:pPr>
              <w:spacing w:after="0"/>
              <w:jc w:val="center"/>
            </w:pPr>
            <w:r/>
            <w:r>
              <w:rPr>
                <w:b/>
                <w:color w:val="FFFFFF"/>
                <w:sz w:val="19"/>
              </w:rPr>
              <w:t>θ (°)</w:t>
            </w:r>
          </w:p>
        </w:tc>
      </w:tr>
      <w:tr>
        <w:tc>
          <w:tcPr>
            <w:tcW w:type="dxa" w:w="1928"/>
            <w:vAlign w:val="center"/>
          </w:tcPr>
          <w:p>
            <w:pPr>
              <w:spacing w:after="0"/>
              <w:jc w:val="center"/>
            </w:pPr>
            <w:r/>
            <w:r>
              <w:rPr>
                <w:sz w:val="19"/>
              </w:rPr>
              <w:t>Violet</w:t>
            </w:r>
          </w:p>
        </w:tc>
        <w:tc>
          <w:tcPr>
            <w:tcW w:type="dxa" w:w="1928"/>
            <w:vAlign w:val="center"/>
          </w:tcPr>
          <w:p>
            <w:pPr>
              <w:spacing w:after="0"/>
              <w:jc w:val="center"/>
            </w:pPr>
            <w:r/>
            <w:r>
              <w:rPr>
                <w:sz w:val="19"/>
              </w:rPr>
              <w:t>193.2</w:t>
            </w:r>
          </w:p>
        </w:tc>
        <w:tc>
          <w:tcPr>
            <w:tcW w:type="dxa" w:w="1928"/>
            <w:vAlign w:val="center"/>
          </w:tcPr>
          <w:p>
            <w:pPr>
              <w:spacing w:after="0"/>
              <w:jc w:val="center"/>
            </w:pPr>
            <w:r/>
            <w:r>
              <w:rPr>
                <w:sz w:val="19"/>
              </w:rPr>
              <w:t>166.8</w:t>
            </w:r>
          </w:p>
        </w:tc>
        <w:tc>
          <w:tcPr>
            <w:tcW w:type="dxa" w:w="1928"/>
            <w:vAlign w:val="center"/>
          </w:tcPr>
          <w:p>
            <w:pPr>
              <w:spacing w:after="0"/>
              <w:jc w:val="center"/>
            </w:pPr>
            <w:r/>
            <w:r>
              <w:rPr>
                <w:sz w:val="19"/>
              </w:rPr>
              <w:t>26.4</w:t>
            </w:r>
          </w:p>
        </w:tc>
        <w:tc>
          <w:tcPr>
            <w:tcW w:type="dxa" w:w="1928"/>
            <w:vAlign w:val="center"/>
          </w:tcPr>
          <w:p>
            <w:pPr>
              <w:spacing w:after="0"/>
              <w:jc w:val="center"/>
            </w:pPr>
            <w:r/>
            <w:r>
              <w:rPr>
                <w:sz w:val="19"/>
              </w:rPr>
              <w:t>13.2</w:t>
            </w:r>
          </w:p>
        </w:tc>
      </w:tr>
      <w:tr>
        <w:tc>
          <w:tcPr>
            <w:tcW w:type="dxa" w:w="1928"/>
            <w:vAlign w:val="center"/>
            <w:shd w:val="clear" w:color="auto" w:fill="E8EFF1"/>
          </w:tcPr>
          <w:p>
            <w:pPr>
              <w:spacing w:after="0"/>
              <w:jc w:val="center"/>
            </w:pPr>
            <w:r/>
            <w:r>
              <w:rPr>
                <w:sz w:val="19"/>
              </w:rPr>
              <w:t>Green</w:t>
            </w:r>
          </w:p>
        </w:tc>
        <w:tc>
          <w:tcPr>
            <w:tcW w:type="dxa" w:w="1928"/>
            <w:vAlign w:val="center"/>
            <w:shd w:val="clear" w:color="auto" w:fill="E8EFF1"/>
          </w:tcPr>
          <w:p>
            <w:pPr>
              <w:spacing w:after="0"/>
              <w:jc w:val="center"/>
            </w:pPr>
            <w:r/>
            <w:r>
              <w:rPr>
                <w:sz w:val="19"/>
              </w:rPr>
              <w:t>195.8</w:t>
            </w:r>
          </w:p>
        </w:tc>
        <w:tc>
          <w:tcPr>
            <w:tcW w:type="dxa" w:w="1928"/>
            <w:vAlign w:val="center"/>
            <w:shd w:val="clear" w:color="auto" w:fill="E8EFF1"/>
          </w:tcPr>
          <w:p>
            <w:pPr>
              <w:spacing w:after="0"/>
              <w:jc w:val="center"/>
            </w:pPr>
            <w:r/>
            <w:r>
              <w:rPr>
                <w:sz w:val="19"/>
              </w:rPr>
              <w:t>164.2</w:t>
            </w:r>
          </w:p>
        </w:tc>
        <w:tc>
          <w:tcPr>
            <w:tcW w:type="dxa" w:w="1928"/>
            <w:vAlign w:val="center"/>
            <w:shd w:val="clear" w:color="auto" w:fill="E8EFF1"/>
          </w:tcPr>
          <w:p>
            <w:pPr>
              <w:spacing w:after="0"/>
              <w:jc w:val="center"/>
            </w:pPr>
            <w:r/>
            <w:r>
              <w:rPr>
                <w:sz w:val="19"/>
              </w:rPr>
              <w:t>31.6</w:t>
            </w:r>
          </w:p>
        </w:tc>
        <w:tc>
          <w:tcPr>
            <w:tcW w:type="dxa" w:w="1928"/>
            <w:vAlign w:val="center"/>
            <w:shd w:val="clear" w:color="auto" w:fill="E8EFF1"/>
          </w:tcPr>
          <w:p>
            <w:pPr>
              <w:spacing w:after="0"/>
              <w:jc w:val="center"/>
            </w:pPr>
            <w:r/>
            <w:r>
              <w:rPr>
                <w:sz w:val="19"/>
              </w:rPr>
              <w:t>15.8</w:t>
            </w:r>
          </w:p>
        </w:tc>
      </w:tr>
      <w:tr>
        <w:tc>
          <w:tcPr>
            <w:tcW w:type="dxa" w:w="1928"/>
            <w:vAlign w:val="center"/>
          </w:tcPr>
          <w:p>
            <w:pPr>
              <w:spacing w:after="0"/>
              <w:jc w:val="center"/>
            </w:pPr>
            <w:r/>
            <w:r>
              <w:rPr>
                <w:sz w:val="19"/>
              </w:rPr>
              <w:t>Yellow</w:t>
            </w:r>
          </w:p>
        </w:tc>
        <w:tc>
          <w:tcPr>
            <w:tcW w:type="dxa" w:w="1928"/>
            <w:vAlign w:val="center"/>
          </w:tcPr>
          <w:p>
            <w:pPr>
              <w:spacing w:after="0"/>
              <w:jc w:val="center"/>
            </w:pPr>
            <w:r/>
            <w:r>
              <w:rPr>
                <w:sz w:val="19"/>
              </w:rPr>
              <w:t>196.6</w:t>
            </w:r>
          </w:p>
        </w:tc>
        <w:tc>
          <w:tcPr>
            <w:tcW w:type="dxa" w:w="1928"/>
            <w:vAlign w:val="center"/>
          </w:tcPr>
          <w:p>
            <w:pPr>
              <w:spacing w:after="0"/>
              <w:jc w:val="center"/>
            </w:pPr>
            <w:r/>
            <w:r>
              <w:rPr>
                <w:sz w:val="19"/>
              </w:rPr>
              <w:t>163.4</w:t>
            </w:r>
          </w:p>
        </w:tc>
        <w:tc>
          <w:tcPr>
            <w:tcW w:type="dxa" w:w="1928"/>
            <w:vAlign w:val="center"/>
          </w:tcPr>
          <w:p>
            <w:pPr>
              <w:spacing w:after="0"/>
              <w:jc w:val="center"/>
            </w:pPr>
            <w:r/>
            <w:r>
              <w:rPr>
                <w:sz w:val="19"/>
              </w:rPr>
              <w:t>33.2</w:t>
            </w:r>
          </w:p>
        </w:tc>
        <w:tc>
          <w:tcPr>
            <w:tcW w:type="dxa" w:w="1928"/>
            <w:vAlign w:val="center"/>
          </w:tcPr>
          <w:p>
            <w:pPr>
              <w:spacing w:after="0"/>
              <w:jc w:val="center"/>
            </w:pPr>
            <w:r/>
            <w:r>
              <w:rPr>
                <w:sz w:val="19"/>
              </w:rPr>
              <w:t>16.6</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Result</w:t>
            </w:r>
          </w:p>
          <w:p>
            <w:pPr>
              <w:spacing w:after="0"/>
            </w:pPr>
            <w:r>
              <w:t>Wavelengths of the mercury lines were calculated from the measured angles and the grating constant (sample readings above).</w:t>
            </w:r>
          </w:p>
        </w:tc>
      </w:tr>
    </w:tbl>
    <w:p>
      <w:pPr>
        <w:spacing w:after="40"/>
      </w:pPr>
    </w:p>
    <w:p>
      <w:pPr>
        <w:pStyle w:val="Heading3"/>
      </w:pPr>
      <w:r>
        <w:t>Precautions</w:t>
      </w:r>
    </w:p>
    <w:p>
      <w:pPr>
        <w:pStyle w:val="ListBullet"/>
      </w:pPr>
      <w:r>
        <w:t>Do not touch the ruled surface of the grating.</w:t>
      </w:r>
    </w:p>
    <w:p>
      <w:pPr>
        <w:pStyle w:val="ListBullet"/>
      </w:pPr>
      <w:r>
        <w:t>Read the vernier carefully.</w:t>
      </w:r>
    </w:p>
    <w:p>
      <w:pPr>
        <w:pStyle w:val="Heading1"/>
      </w:pPr>
      <w:r>
        <w:t>Experiment 3: Energy band gap of a semiconductor</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213"/>
        <w:gridCol w:w="3213"/>
        <w:gridCol w:w="3213"/>
      </w:tblGrid>
      <w:tr>
        <w:tc>
          <w:tcPr>
            <w:tcW w:type="dxa" w:w="3213"/>
          </w:tcPr>
          <w:p>
            <w:pPr>
              <w:spacing w:after="0"/>
            </w:pPr>
            <w:r>
              <w:rPr>
                <w:b/>
                <w:color w:val="155E75"/>
                <w:sz w:val="19"/>
              </w:rPr>
              <w:t xml:space="preserve">Date: </w:t>
            </w:r>
            <w:r>
              <w:rPr>
                <w:sz w:val="19"/>
              </w:rPr>
              <w:t>05 Aug 2025</w:t>
            </w:r>
          </w:p>
        </w:tc>
        <w:tc>
          <w:tcPr>
            <w:tcW w:type="dxa" w:w="3213"/>
          </w:tcPr>
          <w:p>
            <w:pPr>
              <w:spacing w:after="0"/>
            </w:pPr>
            <w:r>
              <w:rPr>
                <w:b/>
                <w:color w:val="155E75"/>
                <w:sz w:val="19"/>
              </w:rPr>
              <w:t xml:space="preserve">Page No.: </w:t>
            </w:r>
            <w:r>
              <w:rPr>
                <w:sz w:val="19"/>
              </w:rPr>
              <w:t>____</w:t>
            </w:r>
          </w:p>
        </w:tc>
        <w:tc>
          <w:tcPr>
            <w:tcW w:type="dxa" w:w="3213"/>
          </w:tcPr>
          <w:p>
            <w:pPr>
              <w:spacing w:after="0"/>
            </w:pPr>
            <w:r>
              <w:rPr>
                <w:b/>
                <w:color w:val="155E75"/>
                <w:sz w:val="19"/>
              </w:rPr>
              <w:t xml:space="preserve">Teacher's sign: </w:t>
            </w:r>
            <w:r>
              <w:rPr>
                <w:sz w:val="19"/>
              </w:rPr>
              <w:t>__________</w:t>
            </w:r>
          </w:p>
        </w:tc>
      </w:tr>
    </w:tbl>
    <w:p>
      <w:pPr>
        <w:spacing w:after="80"/>
      </w:pPr>
    </w:p>
    <w:p>
      <w:pPr>
        <w:pStyle w:val="Heading3"/>
      </w:pPr>
      <w:r>
        <w:t>Aim</w:t>
      </w:r>
    </w:p>
    <w:p>
      <w:r>
        <w:t>To determine the energy band gap of a semiconductor (germanium) using the four-probe method.</w:t>
      </w:r>
    </w:p>
    <w:p>
      <w:pPr>
        <w:pStyle w:val="Heading3"/>
      </w:pPr>
      <w:r>
        <w:t>Apparatus / Materials Required</w:t>
      </w:r>
    </w:p>
    <w:p>
      <w:pPr>
        <w:pStyle w:val="ListBullet"/>
      </w:pPr>
      <w:r>
        <w:t>Four-probe set-up with oven</w:t>
      </w:r>
    </w:p>
    <w:p>
      <w:pPr>
        <w:pStyle w:val="ListBullet"/>
      </w:pPr>
      <w:r>
        <w:t>Germanium crystal</w:t>
      </w:r>
    </w:p>
    <w:p>
      <w:pPr>
        <w:pStyle w:val="ListBullet"/>
      </w:pPr>
      <w:r>
        <w:t>Constant current source and digital voltmeter</w:t>
      </w:r>
    </w:p>
    <w:p>
      <w:pPr>
        <w:pStyle w:val="ListBullet"/>
      </w:pPr>
      <w:r>
        <w:t>Thermometer</w:t>
      </w:r>
    </w:p>
    <w:p>
      <w:pPr>
        <w:pStyle w:val="Heading3"/>
      </w:pPr>
      <w:r>
        <w:t>Theory</w:t>
      </w:r>
    </w:p>
    <w:p>
      <w:pPr>
        <w:jc w:val="both"/>
      </w:pPr>
      <w:r>
        <w:t>The resistivity of an intrinsic semiconductor decreases with temperature. Plotting log ρ against 1/T gives a straight line whose slope is proportional to the band gap.</w:t>
      </w:r>
    </w:p>
    <w:p>
      <w:pPr>
        <w:spacing w:after="120" w:before="40"/>
        <w:jc w:val="center"/>
      </w:pPr>
      <w:r>
        <w:rPr>
          <w:b/>
          <w:color w:val="155E75"/>
        </w:rPr>
        <w:t>Eg = 2 k × 2.303 × slope</w:t>
      </w:r>
    </w:p>
    <w:p>
      <w:pPr>
        <w:pStyle w:val="Heading3"/>
      </w:pPr>
      <w:r>
        <w:t>Procedure</w:t>
      </w:r>
    </w:p>
    <w:p>
      <w:pPr>
        <w:pStyle w:val="ListNumber"/>
      </w:pPr>
      <w:r>
        <w:t>Place the crystal in the oven and connect the four probes.</w:t>
      </w:r>
    </w:p>
    <w:p>
      <w:pPr>
        <w:pStyle w:val="ListNumber"/>
      </w:pPr>
      <w:r>
        <w:t>Pass a constant current and note the voltage at room temperature.</w:t>
      </w:r>
    </w:p>
    <w:p>
      <w:pPr>
        <w:pStyle w:val="ListNumber"/>
      </w:pPr>
      <w:r>
        <w:t>Heat the oven and note the voltage at every 10 °C rise up to about 150 °C.</w:t>
      </w:r>
    </w:p>
    <w:p>
      <w:pPr>
        <w:pStyle w:val="ListNumber"/>
      </w:pPr>
      <w:r>
        <w:t>Calculate resistivity and plot log ρ against 1/T.</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04658"/>
          </w:tcPr>
          <w:p>
            <w:pPr>
              <w:spacing w:after="0"/>
              <w:jc w:val="center"/>
            </w:pPr>
            <w:r/>
            <w:r>
              <w:rPr>
                <w:b/>
                <w:color w:val="FFFFFF"/>
                <w:sz w:val="19"/>
              </w:rPr>
              <w:t>T (K)</w:t>
            </w:r>
          </w:p>
        </w:tc>
        <w:tc>
          <w:tcPr>
            <w:tcW w:type="dxa" w:w="1928"/>
            <w:vAlign w:val="center"/>
            <w:shd w:val="clear" w:color="auto" w:fill="104658"/>
          </w:tcPr>
          <w:p>
            <w:pPr>
              <w:spacing w:after="0"/>
              <w:jc w:val="center"/>
            </w:pPr>
            <w:r/>
            <w:r>
              <w:rPr>
                <w:b/>
                <w:color w:val="FFFFFF"/>
                <w:sz w:val="19"/>
              </w:rPr>
              <w:t>V (mV)</w:t>
            </w:r>
          </w:p>
        </w:tc>
        <w:tc>
          <w:tcPr>
            <w:tcW w:type="dxa" w:w="1928"/>
            <w:vAlign w:val="center"/>
            <w:shd w:val="clear" w:color="auto" w:fill="104658"/>
          </w:tcPr>
          <w:p>
            <w:pPr>
              <w:spacing w:after="0"/>
              <w:jc w:val="center"/>
            </w:pPr>
            <w:r/>
            <w:r>
              <w:rPr>
                <w:b/>
                <w:color w:val="FFFFFF"/>
                <w:sz w:val="19"/>
              </w:rPr>
              <w:t>ρ (Ω cm)</w:t>
            </w:r>
          </w:p>
        </w:tc>
        <w:tc>
          <w:tcPr>
            <w:tcW w:type="dxa" w:w="1928"/>
            <w:vAlign w:val="center"/>
            <w:shd w:val="clear" w:color="auto" w:fill="104658"/>
          </w:tcPr>
          <w:p>
            <w:pPr>
              <w:spacing w:after="0"/>
              <w:jc w:val="center"/>
            </w:pPr>
            <w:r/>
            <w:r>
              <w:rPr>
                <w:b/>
                <w:color w:val="FFFFFF"/>
                <w:sz w:val="19"/>
              </w:rPr>
              <w:t>10³/T (K⁻¹)</w:t>
            </w:r>
          </w:p>
        </w:tc>
        <w:tc>
          <w:tcPr>
            <w:tcW w:type="dxa" w:w="1928"/>
            <w:vAlign w:val="center"/>
            <w:shd w:val="clear" w:color="auto" w:fill="104658"/>
          </w:tcPr>
          <w:p>
            <w:pPr>
              <w:spacing w:after="0"/>
              <w:jc w:val="center"/>
            </w:pPr>
            <w:r/>
            <w:r>
              <w:rPr>
                <w:b/>
                <w:color w:val="FFFFFF"/>
                <w:sz w:val="19"/>
              </w:rPr>
              <w:t>log ρ</w:t>
            </w:r>
          </w:p>
        </w:tc>
      </w:tr>
      <w:tr>
        <w:tc>
          <w:tcPr>
            <w:tcW w:type="dxa" w:w="1928"/>
            <w:vAlign w:val="center"/>
          </w:tcPr>
          <w:p>
            <w:pPr>
              <w:spacing w:after="0"/>
              <w:jc w:val="center"/>
            </w:pPr>
            <w:r/>
            <w:r>
              <w:rPr>
                <w:sz w:val="19"/>
              </w:rPr>
              <w:t>303</w:t>
            </w:r>
          </w:p>
        </w:tc>
        <w:tc>
          <w:tcPr>
            <w:tcW w:type="dxa" w:w="1928"/>
            <w:vAlign w:val="center"/>
          </w:tcPr>
          <w:p>
            <w:pPr>
              <w:spacing w:after="0"/>
              <w:jc w:val="center"/>
            </w:pPr>
            <w:r/>
            <w:r>
              <w:rPr>
                <w:sz w:val="19"/>
              </w:rPr>
              <w:t>52.0</w:t>
            </w:r>
          </w:p>
        </w:tc>
        <w:tc>
          <w:tcPr>
            <w:tcW w:type="dxa" w:w="1928"/>
            <w:vAlign w:val="center"/>
          </w:tcPr>
          <w:p>
            <w:pPr>
              <w:spacing w:after="0"/>
              <w:jc w:val="center"/>
            </w:pPr>
            <w:r/>
            <w:r>
              <w:rPr>
                <w:sz w:val="19"/>
              </w:rPr>
              <w:t>10.4</w:t>
            </w:r>
          </w:p>
        </w:tc>
        <w:tc>
          <w:tcPr>
            <w:tcW w:type="dxa" w:w="1928"/>
            <w:vAlign w:val="center"/>
          </w:tcPr>
          <w:p>
            <w:pPr>
              <w:spacing w:after="0"/>
              <w:jc w:val="center"/>
            </w:pPr>
            <w:r/>
            <w:r>
              <w:rPr>
                <w:sz w:val="19"/>
              </w:rPr>
              <w:t>3.30</w:t>
            </w:r>
          </w:p>
        </w:tc>
        <w:tc>
          <w:tcPr>
            <w:tcW w:type="dxa" w:w="1928"/>
            <w:vAlign w:val="center"/>
          </w:tcPr>
          <w:p>
            <w:pPr>
              <w:spacing w:after="0"/>
              <w:jc w:val="center"/>
            </w:pPr>
            <w:r/>
            <w:r>
              <w:rPr>
                <w:sz w:val="19"/>
              </w:rPr>
              <w:t>1.02</w:t>
            </w:r>
          </w:p>
        </w:tc>
      </w:tr>
      <w:tr>
        <w:tc>
          <w:tcPr>
            <w:tcW w:type="dxa" w:w="1928"/>
            <w:vAlign w:val="center"/>
            <w:shd w:val="clear" w:color="auto" w:fill="E8EFF1"/>
          </w:tcPr>
          <w:p>
            <w:pPr>
              <w:spacing w:after="0"/>
              <w:jc w:val="center"/>
            </w:pPr>
            <w:r/>
            <w:r>
              <w:rPr>
                <w:sz w:val="19"/>
              </w:rPr>
              <w:t>333</w:t>
            </w:r>
          </w:p>
        </w:tc>
        <w:tc>
          <w:tcPr>
            <w:tcW w:type="dxa" w:w="1928"/>
            <w:vAlign w:val="center"/>
            <w:shd w:val="clear" w:color="auto" w:fill="E8EFF1"/>
          </w:tcPr>
          <w:p>
            <w:pPr>
              <w:spacing w:after="0"/>
              <w:jc w:val="center"/>
            </w:pPr>
            <w:r/>
            <w:r>
              <w:rPr>
                <w:sz w:val="19"/>
              </w:rPr>
              <w:t>29.5</w:t>
            </w:r>
          </w:p>
        </w:tc>
        <w:tc>
          <w:tcPr>
            <w:tcW w:type="dxa" w:w="1928"/>
            <w:vAlign w:val="center"/>
            <w:shd w:val="clear" w:color="auto" w:fill="E8EFF1"/>
          </w:tcPr>
          <w:p>
            <w:pPr>
              <w:spacing w:after="0"/>
              <w:jc w:val="center"/>
            </w:pPr>
            <w:r/>
            <w:r>
              <w:rPr>
                <w:sz w:val="19"/>
              </w:rPr>
              <w:t>5.9</w:t>
            </w:r>
          </w:p>
        </w:tc>
        <w:tc>
          <w:tcPr>
            <w:tcW w:type="dxa" w:w="1928"/>
            <w:vAlign w:val="center"/>
            <w:shd w:val="clear" w:color="auto" w:fill="E8EFF1"/>
          </w:tcPr>
          <w:p>
            <w:pPr>
              <w:spacing w:after="0"/>
              <w:jc w:val="center"/>
            </w:pPr>
            <w:r/>
            <w:r>
              <w:rPr>
                <w:sz w:val="19"/>
              </w:rPr>
              <w:t>3.00</w:t>
            </w:r>
          </w:p>
        </w:tc>
        <w:tc>
          <w:tcPr>
            <w:tcW w:type="dxa" w:w="1928"/>
            <w:vAlign w:val="center"/>
            <w:shd w:val="clear" w:color="auto" w:fill="E8EFF1"/>
          </w:tcPr>
          <w:p>
            <w:pPr>
              <w:spacing w:after="0"/>
              <w:jc w:val="center"/>
            </w:pPr>
            <w:r/>
            <w:r>
              <w:rPr>
                <w:sz w:val="19"/>
              </w:rPr>
              <w:t>0.77</w:t>
            </w:r>
          </w:p>
        </w:tc>
      </w:tr>
      <w:tr>
        <w:tc>
          <w:tcPr>
            <w:tcW w:type="dxa" w:w="1928"/>
            <w:vAlign w:val="center"/>
          </w:tcPr>
          <w:p>
            <w:pPr>
              <w:spacing w:after="0"/>
              <w:jc w:val="center"/>
            </w:pPr>
            <w:r/>
            <w:r>
              <w:rPr>
                <w:sz w:val="19"/>
              </w:rPr>
              <w:t>363</w:t>
            </w:r>
          </w:p>
        </w:tc>
        <w:tc>
          <w:tcPr>
            <w:tcW w:type="dxa" w:w="1928"/>
            <w:vAlign w:val="center"/>
          </w:tcPr>
          <w:p>
            <w:pPr>
              <w:spacing w:after="0"/>
              <w:jc w:val="center"/>
            </w:pPr>
            <w:r/>
            <w:r>
              <w:rPr>
                <w:sz w:val="19"/>
              </w:rPr>
              <w:t>15.0</w:t>
            </w:r>
          </w:p>
        </w:tc>
        <w:tc>
          <w:tcPr>
            <w:tcW w:type="dxa" w:w="1928"/>
            <w:vAlign w:val="center"/>
          </w:tcPr>
          <w:p>
            <w:pPr>
              <w:spacing w:after="0"/>
              <w:jc w:val="center"/>
            </w:pPr>
            <w:r/>
            <w:r>
              <w:rPr>
                <w:sz w:val="19"/>
              </w:rPr>
              <w:t>3.0</w:t>
            </w:r>
          </w:p>
        </w:tc>
        <w:tc>
          <w:tcPr>
            <w:tcW w:type="dxa" w:w="1928"/>
            <w:vAlign w:val="center"/>
          </w:tcPr>
          <w:p>
            <w:pPr>
              <w:spacing w:after="0"/>
              <w:jc w:val="center"/>
            </w:pPr>
            <w:r/>
            <w:r>
              <w:rPr>
                <w:sz w:val="19"/>
              </w:rPr>
              <w:t>2.75</w:t>
            </w:r>
          </w:p>
        </w:tc>
        <w:tc>
          <w:tcPr>
            <w:tcW w:type="dxa" w:w="1928"/>
            <w:vAlign w:val="center"/>
          </w:tcPr>
          <w:p>
            <w:pPr>
              <w:spacing w:after="0"/>
              <w:jc w:val="center"/>
            </w:pPr>
            <w:r/>
            <w:r>
              <w:rPr>
                <w:sz w:val="19"/>
              </w:rPr>
              <w:t>0.48</w:t>
            </w:r>
          </w:p>
        </w:tc>
      </w:tr>
      <w:tr>
        <w:tc>
          <w:tcPr>
            <w:tcW w:type="dxa" w:w="1928"/>
            <w:vAlign w:val="center"/>
            <w:shd w:val="clear" w:color="auto" w:fill="E8EFF1"/>
          </w:tcPr>
          <w:p>
            <w:pPr>
              <w:spacing w:after="0"/>
              <w:jc w:val="center"/>
            </w:pPr>
            <w:r/>
            <w:r>
              <w:rPr>
                <w:sz w:val="19"/>
              </w:rPr>
              <w:t>393</w:t>
            </w:r>
          </w:p>
        </w:tc>
        <w:tc>
          <w:tcPr>
            <w:tcW w:type="dxa" w:w="1928"/>
            <w:vAlign w:val="center"/>
            <w:shd w:val="clear" w:color="auto" w:fill="E8EFF1"/>
          </w:tcPr>
          <w:p>
            <w:pPr>
              <w:spacing w:after="0"/>
              <w:jc w:val="center"/>
            </w:pPr>
            <w:r/>
            <w:r>
              <w:rPr>
                <w:sz w:val="19"/>
              </w:rPr>
              <w:t>7.8</w:t>
            </w:r>
          </w:p>
        </w:tc>
        <w:tc>
          <w:tcPr>
            <w:tcW w:type="dxa" w:w="1928"/>
            <w:vAlign w:val="center"/>
            <w:shd w:val="clear" w:color="auto" w:fill="E8EFF1"/>
          </w:tcPr>
          <w:p>
            <w:pPr>
              <w:spacing w:after="0"/>
              <w:jc w:val="center"/>
            </w:pPr>
            <w:r/>
            <w:r>
              <w:rPr>
                <w:sz w:val="19"/>
              </w:rPr>
              <w:t>1.6</w:t>
            </w:r>
          </w:p>
        </w:tc>
        <w:tc>
          <w:tcPr>
            <w:tcW w:type="dxa" w:w="1928"/>
            <w:vAlign w:val="center"/>
            <w:shd w:val="clear" w:color="auto" w:fill="E8EFF1"/>
          </w:tcPr>
          <w:p>
            <w:pPr>
              <w:spacing w:after="0"/>
              <w:jc w:val="center"/>
            </w:pPr>
            <w:r/>
            <w:r>
              <w:rPr>
                <w:sz w:val="19"/>
              </w:rPr>
              <w:t>2.54</w:t>
            </w:r>
          </w:p>
        </w:tc>
        <w:tc>
          <w:tcPr>
            <w:tcW w:type="dxa" w:w="1928"/>
            <w:vAlign w:val="center"/>
            <w:shd w:val="clear" w:color="auto" w:fill="E8EFF1"/>
          </w:tcPr>
          <w:p>
            <w:pPr>
              <w:spacing w:after="0"/>
              <w:jc w:val="center"/>
            </w:pPr>
            <w:r/>
            <w:r>
              <w:rPr>
                <w:sz w:val="19"/>
              </w:rPr>
              <w:t>0.20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Result</w:t>
            </w:r>
          </w:p>
          <w:p>
            <w:pPr>
              <w:spacing w:after="0"/>
            </w:pPr>
            <w:r>
              <w:t>Energy band gap of germanium = 0.70 eV (sample result).</w:t>
            </w:r>
          </w:p>
        </w:tc>
      </w:tr>
    </w:tbl>
    <w:p>
      <w:pPr>
        <w:spacing w:after="40"/>
      </w:pPr>
    </w:p>
    <w:p>
      <w:pPr>
        <w:pStyle w:val="Heading3"/>
      </w:pPr>
      <w:r>
        <w:t>Precautions</w:t>
      </w:r>
    </w:p>
    <w:p>
      <w:pPr>
        <w:pStyle w:val="ListBullet"/>
      </w:pPr>
      <w:r>
        <w:t>Current should remain constant.</w:t>
      </w:r>
    </w:p>
    <w:p>
      <w:pPr>
        <w:pStyle w:val="ListBullet"/>
      </w:pPr>
      <w:r>
        <w:t>Do not heat beyond the rated temperature.</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FD0"/>
      </w:pBdr>
    </w:pPr>
    <w:r/>
    <w:r>
      <w:rPr>
        <w:caps w:val="0"/>
        <w:color w:val="74777A"/>
        <w:sz w:val="17"/>
      </w:rPr>
      <w:t>Engineering Physics Practical File</w:t>
    </w:r>
    <w:r>
      <w:rPr>
        <w:color w:val="74777A"/>
        <w:sz w:val="17"/>
      </w:rPr>
      <w:tab/>
      <w:t>B.Tech I Sem, Section 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55E75"/>
      </w:pBdr>
    </w:pPr>
    <w:rPr>
      <w:rFonts w:ascii="Roboto" w:hAnsi="Roboto" w:cs="Roboto" w:eastAsia="Roboto"/>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Roboto" w:hAnsi="Roboto" w:cs="Roboto" w:eastAsia="Roboto"/>
      <w:b/>
      <w:sz w:val="23"/>
      <w:szCs w:val="23"/>
    </w:rPr>
  </w:style>
  <w:style w:type="paragraph" w:customStyle="1" w:styleId="TOC2">
    <w:name w:val="TOC 2"/>
    <w:basedOn w:val="Normal"/>
    <w:pPr>
      <w:tabs>
        <w:tab w:pos="9638"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