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F2328"/>
          <w:sz w:val="28"/>
          <w:spacing w:val="20"/>
        </w:rPr>
        <w:t>Sunrise Institute of Engineering &amp; Management, Indore</w:t>
      </w:r>
    </w:p>
    <w:p>
      <w:pPr>
        <w:jc w:val="center"/>
      </w:pPr>
      <w:r>
        <w:rPr>
          <w:b w:val="0"/>
          <w:i w:val="0"/>
          <w:color w:val="74777A"/>
          <w:sz w:val="22"/>
        </w:rPr>
        <w:t>Department of Environmental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A16207"/>
          <w:left w:val="thinThickThinMediumGap" w:sz="24" w:space="0" w:color="A16207"/>
          <w:bottom w:val="thinThickThinMediumGap" w:sz="24" w:space="0" w:color="A16207"/>
          <w:right w:val="thinThickThinMediumGap" w:sz="24" w:space="0" w:color="A16207"/>
        </w:tblBorders>
      </w:tblPr>
      <w:tblGrid>
        <w:gridCol w:w="1462"/>
      </w:tblGrid>
      <w:tr>
        <w:trPr>
          <w:trHeight w:val="1463" w:hRule="exact"/>
        </w:trPr>
        <w:tc>
          <w:tcPr>
            <w:tcW w:type="dxa" w:w="1463"/>
            <w:shd w:val="clear" w:color="auto" w:fill="F6EFE6"/>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A16207"/>
                <w:left w:val="single" w:sz="8" w:space="0" w:color="A16207"/>
                <w:bottom w:val="single" w:sz="8" w:space="0" w:color="A16207"/>
                <w:right w:val="single" w:sz="8" w:space="0" w:color="A16207"/>
              </w:tblBorders>
            </w:tblPr>
            <w:tblGrid>
              <w:gridCol w:w="884"/>
            </w:tblGrid>
            <w:tr>
              <w:trPr>
                <w:trHeight w:val="884" w:hRule="exact"/>
              </w:trPr>
              <w:tc>
                <w:tcPr>
                  <w:tcW w:type="dxa" w:w="884"/>
                  <w:shd w:val="clear" w:color="auto" w:fill="EADCC8"/>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A16207"/>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4777A"/>
          <w:sz w:val="24"/>
        </w:rPr>
        <w:t>A Project Report on</w:t>
      </w:r>
    </w:p>
    <w:p>
      <w:pPr>
        <w:pStyle w:val="Title"/>
        <w:jc w:val="center"/>
      </w:pPr>
      <w:r>
        <w:rPr>
          <w:color w:val="A16207"/>
        </w:rPr>
        <w:t>Air Quality Monitoring Network</w:t>
      </w:r>
    </w:p>
    <w:p>
      <w:pPr>
        <w:jc w:val="center"/>
      </w:pPr>
      <w:r>
        <w:rPr>
          <w:b w:val="0"/>
          <w:i w:val="0"/>
          <w:color w:val="1F2328"/>
          <w:sz w:val="24"/>
        </w:rPr>
        <w:t>Low-cost sensors mapping pollution across a campus</w:t>
      </w:r>
    </w:p>
    <w:p>
      <w:pPr>
        <w:spacing w:after="360"/>
        <w:jc w:val="center"/>
      </w:pPr>
      <w:r>
        <w:rPr>
          <w:b w:val="0"/>
          <w:i w:val="0"/>
          <w:color w:val="74777A"/>
          <w:sz w:val="21"/>
        </w:rPr>
        <w:t>Submitted in partial fulfilment of the requirements for the degree of Bachelor of Technology</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74777A"/>
                <w:sz w:val="16"/>
              </w:rPr>
              <w:t>SUBMITTED BY</w:t>
            </w:r>
          </w:p>
        </w:tc>
        <w:tc>
          <w:tcPr>
            <w:tcW w:type="dxa" w:w="3009"/>
          </w:tcPr>
          <w:p>
            <w:pPr>
              <w:spacing w:after="0"/>
              <w:jc w:val="center"/>
            </w:pPr>
            <w:r>
              <w:rPr>
                <w:b/>
                <w:color w:val="74777A"/>
                <w:sz w:val="16"/>
              </w:rPr>
              <w:t>UNDER THE GUIDANCE OF</w:t>
            </w:r>
          </w:p>
        </w:tc>
        <w:tc>
          <w:tcPr>
            <w:tcW w:type="dxa" w:w="3009"/>
          </w:tcPr>
          <w:p>
            <w:pPr>
              <w:spacing w:after="0"/>
              <w:jc w:val="center"/>
            </w:pPr>
            <w:r>
              <w:rPr>
                <w:b/>
                <w:color w:val="74777A"/>
                <w:sz w:val="16"/>
              </w:rPr>
              <w:t>DEPARTMENT</w:t>
            </w:r>
          </w:p>
        </w:tc>
      </w:tr>
      <w:tr>
        <w:tc>
          <w:tcPr>
            <w:tcW w:type="dxa" w:w="3009"/>
          </w:tcPr>
          <w:p>
            <w:pPr>
              <w:spacing w:after="0"/>
              <w:jc w:val="center"/>
            </w:pPr>
            <w:r>
              <w:rPr>
                <w:color w:val="1F2328"/>
                <w:sz w:val="21"/>
              </w:rPr>
              <w:t>Vikram Singh (21EC019)</w:t>
              <w:br/>
              <w:t>Pooja Reddy (21IT012)</w:t>
            </w:r>
          </w:p>
        </w:tc>
        <w:tc>
          <w:tcPr>
            <w:tcW w:type="dxa" w:w="3009"/>
          </w:tcPr>
          <w:p>
            <w:pPr>
              <w:spacing w:after="0"/>
              <w:jc w:val="center"/>
            </w:pPr>
            <w:r>
              <w:rPr>
                <w:color w:val="1F2328"/>
                <w:sz w:val="21"/>
              </w:rPr>
              <w:t>Prof. A. Kulkarni</w:t>
            </w:r>
          </w:p>
        </w:tc>
        <w:tc>
          <w:tcPr>
            <w:tcW w:type="dxa" w:w="3009"/>
          </w:tcPr>
          <w:p>
            <w:pPr>
              <w:spacing w:after="0"/>
              <w:jc w:val="center"/>
            </w:pPr>
            <w:r>
              <w:rPr>
                <w:color w:val="1F2328"/>
                <w:sz w:val="21"/>
              </w:rPr>
              <w:t>Environmental Engineering</w:t>
            </w:r>
          </w:p>
        </w:tc>
      </w:tr>
    </w:tbl>
    <w:p>
      <w:pPr>
        <w:spacing w:before="320"/>
        <w:jc w:val="center"/>
      </w:pPr>
      <w:r>
        <w:rPr>
          <w:b/>
          <w:i w:val="0"/>
          <w:color w:val="1F2328"/>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A16207"/>
          <w:left w:val="thinThickSmallGap" w:sz="18" w:space="0" w:color="A16207"/>
          <w:bottom w:val="thinThickSmallGap" w:sz="18" w:space="0" w:color="A16207"/>
          <w:right w:val="thinThickSmallGap" w:sz="18" w:space="0" w:color="A16207"/>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PT Serif" w:hAnsi="PT Serif" w:cs="PT Serif" w:eastAsia="PT Serif"/>
                <w:b/>
                <w:color w:val="A16207"/>
                <w:sz w:val="44"/>
              </w:rPr>
              <w:t>CERTIFICATE</w:t>
            </w:r>
          </w:p>
          <w:p>
            <w:pPr>
              <w:spacing w:after="240" w:line="360" w:lineRule="auto"/>
              <w:jc w:val="both"/>
            </w:pPr>
            <w:r>
              <w:t>This is to certify that the project report entitled “Air Quality Monitoring Network” is a bonafide record of the work carried out by Vikram Singh (21EC019), Pooja Reddy (21IT012) in partial fulfilment of the requirements for the award of the degree of Bachelor of Technology in Environmental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Prof. A. Kulkarni</w:t>
                    <w:br/>
                  </w:r>
                  <w:r>
                    <w:rPr>
                      <w:color w:val="74777A"/>
                    </w:rPr>
                    <w:t>Project Guide</w:t>
                  </w:r>
                </w:p>
              </w:tc>
              <w:tc>
                <w:tcPr>
                  <w:tcW w:type="dxa" w:w="3009"/>
                </w:tcPr>
                <w:p>
                  <w:pPr>
                    <w:jc w:val="center"/>
                  </w:pPr>
                  <w:r>
                    <w:rPr>
                      <w:b/>
                    </w:rPr>
                    <w:t>Dr. S. Kulkarni</w:t>
                    <w:br/>
                  </w:r>
                  <w:r>
                    <w:rPr>
                      <w:color w:val="74777A"/>
                    </w:rPr>
                    <w:t>Head of Department</w:t>
                  </w:r>
                </w:p>
              </w:tc>
              <w:tc>
                <w:tcPr>
                  <w:tcW w:type="dxa" w:w="3009"/>
                </w:tcPr>
                <w:p>
                  <w:pPr>
                    <w:jc w:val="center"/>
                  </w:pPr>
                  <w:r>
                    <w:rPr>
                      <w:b/>
                    </w:rPr>
                    <w:t>External Examiner</w:t>
                    <w:br/>
                  </w:r>
                  <w:r>
                    <w:rPr>
                      <w:color w:val="74777A"/>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“Air Quality Monitoring Network” submitted to the Department of Environmental Engineering, Sunrise Institute of Engineering &amp; Management, is a record of original work done by us under the guidance of Prof. A. Kulkarni.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Vikram Singh · Pooja Reddy</w:t>
      </w:r>
    </w:p>
    <w:p>
      <w:pPr>
        <w:pStyle w:val="Heading1"/>
      </w:pPr>
      <w:r>
        <w:t>Acknowledgement</w:t>
      </w:r>
    </w:p>
    <w:p>
      <w:pPr>
        <w:jc w:val="both"/>
      </w:pPr>
      <w:r>
        <w:t>We express our sincere gratitude to our project guide, Prof. A. Kulkarni, for constant guidance, encouragement and valuable feedback at every stage of this project.</w:t>
      </w:r>
    </w:p>
    <w:p>
      <w:pPr>
        <w:jc w:val="both"/>
      </w:pPr>
      <w:r>
        <w:t>We thank Dr. S. Kulkarni, Head of the Department of Environmental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Air quality can change block by block, but most cities have only a few monitors. Air Quality Monitoring Network addresses this gap. Official monitoring stations are sparse and expensive. Low-cost sensor nodes can fill the gaps. The system is organised into 4 stages — measure, transmit, calibrate, visualise — and is built with ESP32 + LoRa, PMS5003, InfluxDB. In our test setup it achieved 0.91 correlation with the reference monitor. This report presents the problem, a review of existing approaches, the requirements, the design and implementation, the testing carried out and the results obtained.</w:t>
      </w:r>
    </w:p>
    <w:p>
      <w:r>
        <w:rPr>
          <w:i/>
          <w:color w:val="74777A"/>
        </w:rPr>
        <w:t>Keywords: ESP32 + LoRa, PMS5003, InfluxDB, Leaflet</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8</w:t>
      </w:r>
    </w:p>
    <w:p>
      <w:pPr>
        <w:pStyle w:val="TOC1"/>
      </w:pPr>
      <w:r>
        <w:t>Literature Review</w:t>
      </w:r>
      <w:r>
        <w:tab/>
        <w:t>9</w:t>
      </w:r>
    </w:p>
    <w:p>
      <w:pPr>
        <w:pStyle w:val="TOC2"/>
      </w:pPr>
      <w:r>
        <w:t>2.1  Existing Work</w:t>
      </w:r>
      <w:r>
        <w:tab/>
        <w:t>9</w:t>
      </w:r>
    </w:p>
    <w:p>
      <w:pPr>
        <w:pStyle w:val="TOC2"/>
      </w:pPr>
      <w:r>
        <w:t>2.2  Research Gap</w:t>
      </w:r>
      <w:r>
        <w:tab/>
        <w:t>9</w:t>
      </w:r>
    </w:p>
    <w:p>
      <w:pPr>
        <w:pStyle w:val="TOC1"/>
      </w:pPr>
      <w:r>
        <w:t>System Design</w:t>
      </w:r>
      <w:r>
        <w:tab/>
        <w:t>10</w:t>
      </w:r>
    </w:p>
    <w:p>
      <w:pPr>
        <w:pStyle w:val="TOC2"/>
      </w:pPr>
      <w:r>
        <w:t>3.1  Proposed System</w:t>
      </w:r>
      <w:r>
        <w:tab/>
        <w:t>10</w:t>
      </w:r>
    </w:p>
    <w:p>
      <w:pPr>
        <w:pStyle w:val="TOC2"/>
      </w:pPr>
      <w:r>
        <w:t>3.2  System Architecture</w:t>
      </w:r>
      <w:r>
        <w:tab/>
        <w:t>10</w:t>
      </w:r>
    </w:p>
    <w:p>
      <w:pPr>
        <w:pStyle w:val="TOC2"/>
      </w:pPr>
      <w:r>
        <w:t>3.3  Technology Stack</w:t>
      </w:r>
      <w:r>
        <w:tab/>
        <w:t>11</w:t>
      </w:r>
    </w:p>
    <w:p>
      <w:pPr>
        <w:pStyle w:val="TOC1"/>
      </w:pPr>
      <w:r>
        <w:t>Implementation</w:t>
      </w:r>
      <w:r>
        <w:tab/>
        <w:t>12</w:t>
      </w:r>
    </w:p>
    <w:p>
      <w:pPr>
        <w:pStyle w:val="TOC2"/>
      </w:pPr>
      <w:r>
        <w:t>4.1  Methodology</w:t>
      </w:r>
      <w:r>
        <w:tab/>
        <w:t>12</w:t>
      </w:r>
    </w:p>
    <w:p>
      <w:pPr>
        <w:pStyle w:val="TOC2"/>
      </w:pPr>
      <w:r>
        <w:t>4.2  Project Timeline</w:t>
      </w:r>
      <w:r>
        <w:tab/>
        <w:t>12</w:t>
      </w:r>
    </w:p>
    <w:p>
      <w:pPr>
        <w:pStyle w:val="TOC2"/>
      </w:pPr>
      <w:r>
        <w:t>4.3  Module Description</w:t>
      </w:r>
      <w:r>
        <w:tab/>
        <w:t>12</w:t>
      </w:r>
    </w:p>
    <w:p>
      <w:pPr>
        <w:pStyle w:val="TOC1"/>
      </w:pPr>
      <w:r>
        <w:t>Testing and Results</w:t>
      </w:r>
      <w:r>
        <w:tab/>
        <w:t>14</w:t>
      </w:r>
    </w:p>
    <w:p>
      <w:pPr>
        <w:pStyle w:val="TOC2"/>
      </w:pPr>
      <w:r>
        <w:t>5.1  Testing Strategy</w:t>
      </w:r>
      <w:r>
        <w:tab/>
        <w:t>14</w:t>
      </w:r>
    </w:p>
    <w:p>
      <w:pPr>
        <w:pStyle w:val="TOC2"/>
      </w:pPr>
      <w:r>
        <w:t>5.2  Test Cases</w:t>
      </w:r>
      <w:r>
        <w:tab/>
        <w:t>14</w:t>
      </w:r>
    </w:p>
    <w:p>
      <w:pPr>
        <w:pStyle w:val="TOC2"/>
      </w:pPr>
      <w:r>
        <w:t>5.3  Results</w:t>
      </w:r>
      <w:r>
        <w:tab/>
        <w:t>14</w:t>
      </w:r>
    </w:p>
    <w:p>
      <w:pPr>
        <w:pStyle w:val="TOC1"/>
      </w:pPr>
      <w:r>
        <w:t>Conclusion and Future Scope</w:t>
      </w:r>
      <w:r>
        <w:tab/>
        <w:t>16</w:t>
      </w:r>
    </w:p>
    <w:p>
      <w:pPr>
        <w:pStyle w:val="TOC2"/>
      </w:pPr>
      <w:r>
        <w:t>6.1  Conclusion</w:t>
      </w:r>
      <w:r>
        <w:tab/>
        <w:t>16</w:t>
      </w:r>
    </w:p>
    <w:p>
      <w:pPr>
        <w:pStyle w:val="TOC2"/>
      </w:pPr>
      <w:r>
        <w:t>6.2  Future Scope</w:t>
      </w:r>
      <w:r>
        <w:tab/>
        <w:t>16</w:t>
      </w:r>
    </w:p>
    <w:p>
      <w:pPr>
        <w:pStyle w:val="TOC1"/>
      </w:pPr>
      <w:r>
        <w:t>References</w:t>
      </w:r>
      <w:r>
        <w:tab/>
        <w:t>17</w:t>
      </w:r>
    </w:p>
    <w:p>
      <w:pPr>
        <w:spacing w:after="0"/>
      </w:pPr>
      <w:r>
        <w:fldChar w:fldCharType="end"/>
      </w:r>
    </w:p>
    <w:p>
      <w:pPr>
        <w:pStyle w:val="Heading1"/>
      </w:pPr>
      <w:r>
        <w:t>Introduction</w:t>
      </w:r>
    </w:p>
    <w:p>
      <w:pPr>
        <w:pStyle w:val="Heading2"/>
      </w:pPr>
      <w:r>
        <w:t>1.1  Background</w:t>
      </w:r>
    </w:p>
    <w:p>
      <w:pPr>
        <w:jc w:val="both"/>
      </w:pPr>
      <w:r>
        <w:t>Air Quality Monitoring Network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Air quality can change block by block, but most cities have only a few monitors. The key problems identified during our preliminary study are:</w:t>
      </w:r>
    </w:p>
    <w:p>
      <w:pPr>
        <w:pStyle w:val="ListBullet"/>
      </w:pPr>
      <w:r>
        <w:t>Sparse data — One station may cover a whole district.</w:t>
      </w:r>
    </w:p>
    <w:p>
      <w:pPr>
        <w:pStyle w:val="ListBullet"/>
      </w:pPr>
      <w:r>
        <w:t>High cost — Reference monitors cost lakhs of rupees each.</w:t>
      </w:r>
    </w:p>
    <w:p>
      <w:pPr>
        <w:pStyle w:val="ListBullet"/>
      </w:pPr>
      <w:r>
        <w:t>Low awareness — People rarely see local, live readings.</w:t>
      </w:r>
    </w:p>
    <w:p>
      <w:pPr>
        <w:pStyle w:val="Heading2"/>
      </w:pPr>
      <w:r>
        <w:t>1.4  Objectives</w:t>
      </w:r>
    </w:p>
    <w:p>
      <w:r>
        <w:t>The project was planned around the following objectives:</w:t>
      </w:r>
    </w:p>
    <w:p>
      <w:pPr>
        <w:pStyle w:val="ListNumber"/>
      </w:pPr>
      <w:r>
        <w:t>Build nodes measuring PM2.5, PM10, CO₂ and humidity</w:t>
      </w:r>
    </w:p>
    <w:p>
      <w:pPr>
        <w:pStyle w:val="ListNumber"/>
      </w:pPr>
      <w:r>
        <w:t>Calibrate against a reference instrument</w:t>
      </w:r>
    </w:p>
    <w:p>
      <w:pPr>
        <w:pStyle w:val="ListNumber"/>
      </w:pPr>
      <w:r>
        <w:t>Publish a live campus air-quality map</w:t>
      </w:r>
    </w:p>
    <w:p>
      <w:pPr>
        <w:pStyle w:val="ListNumber"/>
      </w:pPr>
      <w:r>
        <w:t>Send alerts when levels cross safe limits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A16207"/>
          </w:tcPr>
          <w:p>
            <w:pPr>
              <w:spacing w:after="0"/>
            </w:pPr>
            <w:r/>
            <w:r>
              <w:rPr>
                <w:b/>
                <w:color w:val="FFFFFF"/>
                <w:sz w:val="19"/>
              </w:rPr>
              <w:t>Study / system</w:t>
            </w:r>
          </w:p>
        </w:tc>
        <w:tc>
          <w:tcPr>
            <w:tcW w:type="dxa" w:w="3343"/>
            <w:vAlign w:val="center"/>
            <w:shd w:val="clear" w:color="auto" w:fill="A16207"/>
          </w:tcPr>
          <w:p>
            <w:pPr>
              <w:spacing w:after="0"/>
            </w:pPr>
            <w:r/>
            <w:r>
              <w:rPr>
                <w:b/>
                <w:color w:val="FFFFFF"/>
                <w:sz w:val="19"/>
              </w:rPr>
              <w:t>Approach</w:t>
            </w:r>
          </w:p>
        </w:tc>
        <w:tc>
          <w:tcPr>
            <w:tcW w:type="dxa" w:w="3343"/>
            <w:vAlign w:val="center"/>
            <w:shd w:val="clear" w:color="auto" w:fill="A16207"/>
          </w:tcPr>
          <w:p>
            <w:pPr>
              <w:spacing w:after="0"/>
            </w:pPr>
            <w:r/>
            <w:r>
              <w:rPr>
                <w:b/>
                <w:color w:val="FFFFFF"/>
                <w:sz w:val="19"/>
              </w:rPr>
              <w:t>Limitation</w:t>
            </w:r>
          </w:p>
        </w:tc>
      </w:tr>
      <w:tr>
        <w:tc>
          <w:tcPr>
            <w:tcW w:type="dxa" w:w="2340"/>
            <w:vAlign w:val="center"/>
          </w:tcPr>
          <w:p>
            <w:pPr>
              <w:spacing w:after="0"/>
            </w:pPr>
            <w:r/>
            <w:r>
              <w:rPr>
                <w:sz w:val="19"/>
              </w:rPr>
              <w:t>Kim et al.</w:t>
            </w:r>
          </w:p>
        </w:tc>
        <w:tc>
          <w:tcPr>
            <w:tcW w:type="dxa" w:w="3343"/>
            <w:vAlign w:val="center"/>
          </w:tcPr>
          <w:p>
            <w:pPr>
              <w:spacing w:after="0"/>
            </w:pPr>
            <w:r/>
            <w:r>
              <w:rPr>
                <w:sz w:val="19"/>
              </w:rPr>
              <w:t>Low-cost PM sensors</w:t>
            </w:r>
          </w:p>
        </w:tc>
        <w:tc>
          <w:tcPr>
            <w:tcW w:type="dxa" w:w="3343"/>
            <w:vAlign w:val="center"/>
          </w:tcPr>
          <w:p>
            <w:pPr>
              <w:spacing w:after="0"/>
            </w:pPr>
            <w:r/>
            <w:r>
              <w:rPr>
                <w:sz w:val="19"/>
              </w:rPr>
              <w:t>Drift without calibration</w:t>
            </w:r>
          </w:p>
        </w:tc>
      </w:tr>
      <w:tr>
        <w:tc>
          <w:tcPr>
            <w:tcW w:type="dxa" w:w="2340"/>
            <w:vAlign w:val="center"/>
            <w:shd w:val="clear" w:color="auto" w:fill="F6EFE6"/>
          </w:tcPr>
          <w:p>
            <w:pPr>
              <w:spacing w:after="0"/>
            </w:pPr>
            <w:r/>
            <w:r>
              <w:rPr>
                <w:sz w:val="19"/>
              </w:rPr>
              <w:t>City AQ networks</w:t>
            </w:r>
          </w:p>
        </w:tc>
        <w:tc>
          <w:tcPr>
            <w:tcW w:type="dxa" w:w="3343"/>
            <w:vAlign w:val="center"/>
            <w:shd w:val="clear" w:color="auto" w:fill="F6EFE6"/>
          </w:tcPr>
          <w:p>
            <w:pPr>
              <w:spacing w:after="0"/>
            </w:pPr>
            <w:r/>
            <w:r>
              <w:rPr>
                <w:sz w:val="19"/>
              </w:rPr>
              <w:t>Dense sensor grids</w:t>
            </w:r>
          </w:p>
        </w:tc>
        <w:tc>
          <w:tcPr>
            <w:tcW w:type="dxa" w:w="3343"/>
            <w:vAlign w:val="center"/>
            <w:shd w:val="clear" w:color="auto" w:fill="F6EFE6"/>
          </w:tcPr>
          <w:p>
            <w:pPr>
              <w:spacing w:after="0"/>
            </w:pPr>
            <w:r/>
            <w:r>
              <w:rPr>
                <w:sz w:val="19"/>
              </w:rPr>
              <w:t>Proprietary platforms</w:t>
            </w:r>
          </w:p>
        </w:tc>
      </w:tr>
      <w:tr>
        <w:tc>
          <w:tcPr>
            <w:tcW w:type="dxa" w:w="2340"/>
            <w:vAlign w:val="center"/>
          </w:tcPr>
          <w:p>
            <w:pPr>
              <w:spacing w:after="0"/>
            </w:pPr>
            <w:r/>
            <w:r>
              <w:rPr>
                <w:sz w:val="19"/>
              </w:rPr>
              <w:t>Patel &amp; Joshi</w:t>
            </w:r>
          </w:p>
        </w:tc>
        <w:tc>
          <w:tcPr>
            <w:tcW w:type="dxa" w:w="3343"/>
            <w:vAlign w:val="center"/>
          </w:tcPr>
          <w:p>
            <w:pPr>
              <w:spacing w:after="0"/>
            </w:pPr>
            <w:r/>
            <w:r>
              <w:rPr>
                <w:sz w:val="19"/>
              </w:rPr>
              <w:t>LoRa-based nodes</w:t>
            </w:r>
          </w:p>
        </w:tc>
        <w:tc>
          <w:tcPr>
            <w:tcW w:type="dxa" w:w="3343"/>
            <w:vAlign w:val="center"/>
          </w:tcPr>
          <w:p>
            <w:pPr>
              <w:spacing w:after="0"/>
            </w:pPr>
            <w:r/>
            <w:r>
              <w:rPr>
                <w:sz w:val="19"/>
              </w:rPr>
              <w:t>Small pilot only</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A16207"/>
          </w:tcPr>
          <w:p>
            <w:pPr>
              <w:spacing w:after="0"/>
            </w:pPr>
            <w:r/>
            <w:r>
              <w:rPr>
                <w:b/>
                <w:color w:val="FFFFFF"/>
                <w:sz w:val="19"/>
              </w:rPr>
              <w:t>Existing system</w:t>
            </w:r>
          </w:p>
        </w:tc>
        <w:tc>
          <w:tcPr>
            <w:tcW w:type="dxa" w:w="4513"/>
            <w:vAlign w:val="center"/>
            <w:shd w:val="clear" w:color="auto" w:fill="A16207"/>
          </w:tcPr>
          <w:p>
            <w:pPr>
              <w:spacing w:after="0"/>
            </w:pPr>
            <w:r/>
            <w:r>
              <w:rPr>
                <w:b/>
                <w:color w:val="FFFFFF"/>
                <w:sz w:val="19"/>
              </w:rPr>
              <w:t>Proposed system</w:t>
            </w:r>
          </w:p>
        </w:tc>
      </w:tr>
      <w:tr>
        <w:tc>
          <w:tcPr>
            <w:tcW w:type="dxa" w:w="4513"/>
            <w:vAlign w:val="center"/>
          </w:tcPr>
          <w:p>
            <w:pPr>
              <w:spacing w:after="0"/>
            </w:pPr>
            <w:r/>
            <w:r>
              <w:rPr>
                <w:sz w:val="19"/>
              </w:rPr>
              <w:t>Few official stations</w:t>
            </w:r>
          </w:p>
        </w:tc>
        <w:tc>
          <w:tcPr>
            <w:tcW w:type="dxa" w:w="4513"/>
            <w:vAlign w:val="center"/>
          </w:tcPr>
          <w:p>
            <w:pPr>
              <w:spacing w:after="0"/>
            </w:pPr>
            <w:r/>
            <w:r>
              <w:rPr>
                <w:sz w:val="19"/>
              </w:rPr>
              <w:t>Dense low-cost node network</w:t>
            </w:r>
          </w:p>
        </w:tc>
      </w:tr>
      <w:tr>
        <w:tc>
          <w:tcPr>
            <w:tcW w:type="dxa" w:w="4513"/>
            <w:vAlign w:val="center"/>
            <w:shd w:val="clear" w:color="auto" w:fill="F6EFE6"/>
          </w:tcPr>
          <w:p>
            <w:pPr>
              <w:spacing w:after="0"/>
            </w:pPr>
            <w:r/>
            <w:r>
              <w:rPr>
                <w:sz w:val="19"/>
              </w:rPr>
              <w:t>Hourly, delayed data</w:t>
            </w:r>
          </w:p>
        </w:tc>
        <w:tc>
          <w:tcPr>
            <w:tcW w:type="dxa" w:w="4513"/>
            <w:vAlign w:val="center"/>
            <w:shd w:val="clear" w:color="auto" w:fill="F6EFE6"/>
          </w:tcPr>
          <w:p>
            <w:pPr>
              <w:spacing w:after="0"/>
            </w:pPr>
            <w:r/>
            <w:r>
              <w:rPr>
                <w:sz w:val="19"/>
              </w:rPr>
              <w:t>Minute-level live map</w:t>
            </w:r>
          </w:p>
        </w:tc>
      </w:tr>
      <w:tr>
        <w:tc>
          <w:tcPr>
            <w:tcW w:type="dxa" w:w="4513"/>
            <w:vAlign w:val="center"/>
          </w:tcPr>
          <w:p>
            <w:pPr>
              <w:spacing w:after="0"/>
            </w:pPr>
            <w:r/>
            <w:r>
              <w:rPr>
                <w:sz w:val="19"/>
              </w:rPr>
              <w:t>No local alerts</w:t>
            </w:r>
          </w:p>
        </w:tc>
        <w:tc>
          <w:tcPr>
            <w:tcW w:type="dxa" w:w="4513"/>
            <w:vAlign w:val="center"/>
          </w:tcPr>
          <w:p>
            <w:pPr>
              <w:spacing w:after="0"/>
            </w:pPr>
            <w:r/>
            <w:r>
              <w:rPr>
                <w:sz w:val="19"/>
              </w:rPr>
              <w:t>Threshold alerts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6EFE6"/>
            <w:tcBorders>
              <w:left w:val="single" w:sz="36" w:space="0" w:color="A16207"/>
            </w:tcBorders>
          </w:tcPr>
          <w:p>
            <w:pPr>
              <w:spacing w:after="60"/>
            </w:pPr>
            <w:r>
              <w:rPr>
                <w:b/>
                <w:color w:val="A16207"/>
              </w:rPr>
              <w:t>Gap addressed</w:t>
            </w:r>
          </w:p>
          <w:p>
            <w:pPr>
              <w:spacing w:after="0"/>
            </w:pPr>
            <w:r>
              <w:t>No low-cost option combines dense low-cost node network with minute-level live map. Air Quality Monitoring Network is designed to close that gap.</w:t>
            </w:r>
          </w:p>
        </w:tc>
      </w:tr>
    </w:tbl>
    <w:p>
      <w:pPr>
        <w:spacing w:after="40"/>
      </w:pPr>
    </w:p>
    <w:p>
      <w:pPr>
        <w:pStyle w:val="Heading1"/>
      </w:pPr>
      <w:r>
        <w:t>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Solar-powered nodes send readings over LoRa to a gateway, which forwards them to a time-series database. A calibration model corrects drift before the map is updated.</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685" w:hRule="exact"/>
        </w:trPr>
        <w:tc>
          <w:tcPr>
            <w:tcW w:type="dxa" w:w="9026"/>
            <w:shd w:val="clear" w:color="auto" w:fill="F6EFE6"/>
            <w:vAlign w:val="center"/>
          </w:tcPr>
          <w:p>
            <w:pPr>
              <w:jc w:val="center"/>
            </w:pPr>
            <w:r>
              <w:rPr>
                <w:color w:val="74777A"/>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A16207"/>
          </w:tcPr>
          <w:p>
            <w:pPr>
              <w:spacing w:after="0"/>
            </w:pPr>
            <w:r/>
            <w:r>
              <w:rPr>
                <w:b/>
                <w:color w:val="FFFFFF"/>
                <w:sz w:val="19"/>
              </w:rPr>
              <w:t>Stage</w:t>
            </w:r>
          </w:p>
        </w:tc>
        <w:tc>
          <w:tcPr>
            <w:tcW w:type="dxa" w:w="7091"/>
            <w:vAlign w:val="center"/>
            <w:shd w:val="clear" w:color="auto" w:fill="A16207"/>
          </w:tcPr>
          <w:p>
            <w:pPr>
              <w:spacing w:after="0"/>
            </w:pPr>
            <w:r/>
            <w:r>
              <w:rPr>
                <w:b/>
                <w:color w:val="FFFFFF"/>
                <w:sz w:val="19"/>
              </w:rPr>
              <w:t>What happens</w:t>
            </w:r>
          </w:p>
        </w:tc>
      </w:tr>
      <w:tr>
        <w:tc>
          <w:tcPr>
            <w:tcW w:type="dxa" w:w="1934"/>
            <w:vAlign w:val="center"/>
          </w:tcPr>
          <w:p>
            <w:pPr>
              <w:spacing w:after="0"/>
            </w:pPr>
            <w:r/>
            <w:r>
              <w:rPr>
                <w:sz w:val="19"/>
              </w:rPr>
              <w:t>Measure</w:t>
            </w:r>
          </w:p>
        </w:tc>
        <w:tc>
          <w:tcPr>
            <w:tcW w:type="dxa" w:w="7091"/>
            <w:vAlign w:val="center"/>
          </w:tcPr>
          <w:p>
            <w:pPr>
              <w:spacing w:after="0"/>
            </w:pPr>
            <w:r/>
            <w:r>
              <w:rPr>
                <w:sz w:val="19"/>
              </w:rPr>
              <w:t>PMS5003 and CO₂ sensors in each node</w:t>
            </w:r>
          </w:p>
        </w:tc>
      </w:tr>
      <w:tr>
        <w:tc>
          <w:tcPr>
            <w:tcW w:type="dxa" w:w="1934"/>
            <w:vAlign w:val="center"/>
            <w:shd w:val="clear" w:color="auto" w:fill="F6EFE6"/>
          </w:tcPr>
          <w:p>
            <w:pPr>
              <w:spacing w:after="0"/>
            </w:pPr>
            <w:r/>
            <w:r>
              <w:rPr>
                <w:sz w:val="19"/>
              </w:rPr>
              <w:t>Transmit</w:t>
            </w:r>
          </w:p>
        </w:tc>
        <w:tc>
          <w:tcPr>
            <w:tcW w:type="dxa" w:w="7091"/>
            <w:vAlign w:val="center"/>
            <w:shd w:val="clear" w:color="auto" w:fill="F6EFE6"/>
          </w:tcPr>
          <w:p>
            <w:pPr>
              <w:spacing w:after="0"/>
            </w:pPr>
            <w:r/>
            <w:r>
              <w:rPr>
                <w:sz w:val="19"/>
              </w:rPr>
              <w:t>LoRa sends readings to a gateway</w:t>
            </w:r>
          </w:p>
        </w:tc>
      </w:tr>
      <w:tr>
        <w:tc>
          <w:tcPr>
            <w:tcW w:type="dxa" w:w="1934"/>
            <w:vAlign w:val="center"/>
          </w:tcPr>
          <w:p>
            <w:pPr>
              <w:spacing w:after="0"/>
            </w:pPr>
            <w:r/>
            <w:r>
              <w:rPr>
                <w:sz w:val="19"/>
              </w:rPr>
              <w:t>Calibrate</w:t>
            </w:r>
          </w:p>
        </w:tc>
        <w:tc>
          <w:tcPr>
            <w:tcW w:type="dxa" w:w="7091"/>
            <w:vAlign w:val="center"/>
          </w:tcPr>
          <w:p>
            <w:pPr>
              <w:spacing w:after="0"/>
            </w:pPr>
            <w:r/>
            <w:r>
              <w:rPr>
                <w:sz w:val="19"/>
              </w:rPr>
              <w:t>Correction model on the server</w:t>
            </w:r>
          </w:p>
        </w:tc>
      </w:tr>
      <w:tr>
        <w:tc>
          <w:tcPr>
            <w:tcW w:type="dxa" w:w="1934"/>
            <w:vAlign w:val="center"/>
            <w:shd w:val="clear" w:color="auto" w:fill="F6EFE6"/>
          </w:tcPr>
          <w:p>
            <w:pPr>
              <w:spacing w:after="0"/>
            </w:pPr>
            <w:r/>
            <w:r>
              <w:rPr>
                <w:sz w:val="19"/>
              </w:rPr>
              <w:t>Visualise</w:t>
            </w:r>
          </w:p>
        </w:tc>
        <w:tc>
          <w:tcPr>
            <w:tcW w:type="dxa" w:w="7091"/>
            <w:vAlign w:val="center"/>
            <w:shd w:val="clear" w:color="auto" w:fill="F6EFE6"/>
          </w:tcPr>
          <w:p>
            <w:pPr>
              <w:spacing w:after="0"/>
            </w:pPr>
            <w:r/>
            <w:r>
              <w:rPr>
                <w:sz w:val="19"/>
              </w:rPr>
              <w:t>Live map and alerts</w:t>
            </w:r>
          </w:p>
        </w:tc>
      </w:tr>
    </w:tbl>
    <w:p>
      <w:pPr>
        <w:spacing w:after="80"/>
      </w:pPr>
    </w:p>
    <w:p>
      <w:pPr>
        <w:pStyle w:val="Heading2"/>
      </w:pPr>
      <w:r>
        <w:t>3.3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A16207"/>
          </w:tcPr>
          <w:p>
            <w:pPr>
              <w:spacing w:after="0"/>
            </w:pPr>
            <w:r/>
            <w:r>
              <w:rPr>
                <w:b/>
                <w:color w:val="FFFFFF"/>
                <w:sz w:val="19"/>
              </w:rPr>
              <w:t>Component</w:t>
            </w:r>
          </w:p>
        </w:tc>
        <w:tc>
          <w:tcPr>
            <w:tcW w:type="dxa" w:w="6769"/>
            <w:vAlign w:val="center"/>
            <w:shd w:val="clear" w:color="auto" w:fill="A16207"/>
          </w:tcPr>
          <w:p>
            <w:pPr>
              <w:spacing w:after="0"/>
            </w:pPr>
            <w:r/>
            <w:r>
              <w:rPr>
                <w:b/>
                <w:color w:val="FFFFFF"/>
                <w:sz w:val="19"/>
              </w:rPr>
              <w:t>Purpose</w:t>
            </w:r>
          </w:p>
        </w:tc>
      </w:tr>
      <w:tr>
        <w:tc>
          <w:tcPr>
            <w:tcW w:type="dxa" w:w="2256"/>
            <w:vAlign w:val="center"/>
          </w:tcPr>
          <w:p>
            <w:pPr>
              <w:spacing w:after="0"/>
            </w:pPr>
            <w:r/>
            <w:r>
              <w:rPr>
                <w:sz w:val="19"/>
              </w:rPr>
              <w:t>ESP32 + LoRa</w:t>
            </w:r>
          </w:p>
        </w:tc>
        <w:tc>
          <w:tcPr>
            <w:tcW w:type="dxa" w:w="6769"/>
            <w:vAlign w:val="center"/>
          </w:tcPr>
          <w:p>
            <w:pPr>
              <w:spacing w:after="0"/>
            </w:pPr>
            <w:r/>
            <w:r>
              <w:rPr>
                <w:sz w:val="19"/>
              </w:rPr>
              <w:t>Node controller and radio</w:t>
            </w:r>
          </w:p>
        </w:tc>
      </w:tr>
      <w:tr>
        <w:tc>
          <w:tcPr>
            <w:tcW w:type="dxa" w:w="2256"/>
            <w:vAlign w:val="center"/>
            <w:shd w:val="clear" w:color="auto" w:fill="F6EFE6"/>
          </w:tcPr>
          <w:p>
            <w:pPr>
              <w:spacing w:after="0"/>
            </w:pPr>
            <w:r/>
            <w:r>
              <w:rPr>
                <w:sz w:val="19"/>
              </w:rPr>
              <w:t>PMS5003</w:t>
            </w:r>
          </w:p>
        </w:tc>
        <w:tc>
          <w:tcPr>
            <w:tcW w:type="dxa" w:w="6769"/>
            <w:vAlign w:val="center"/>
            <w:shd w:val="clear" w:color="auto" w:fill="F6EFE6"/>
          </w:tcPr>
          <w:p>
            <w:pPr>
              <w:spacing w:after="0"/>
            </w:pPr>
            <w:r/>
            <w:r>
              <w:rPr>
                <w:sz w:val="19"/>
              </w:rPr>
              <w:t>Particulate matter sensor</w:t>
            </w:r>
          </w:p>
        </w:tc>
      </w:tr>
      <w:tr>
        <w:tc>
          <w:tcPr>
            <w:tcW w:type="dxa" w:w="2256"/>
            <w:vAlign w:val="center"/>
          </w:tcPr>
          <w:p>
            <w:pPr>
              <w:spacing w:after="0"/>
            </w:pPr>
            <w:r/>
            <w:r>
              <w:rPr>
                <w:sz w:val="19"/>
              </w:rPr>
              <w:t>InfluxDB</w:t>
            </w:r>
          </w:p>
        </w:tc>
        <w:tc>
          <w:tcPr>
            <w:tcW w:type="dxa" w:w="6769"/>
            <w:vAlign w:val="center"/>
          </w:tcPr>
          <w:p>
            <w:pPr>
              <w:spacing w:after="0"/>
            </w:pPr>
            <w:r/>
            <w:r>
              <w:rPr>
                <w:sz w:val="19"/>
              </w:rPr>
              <w:t>Time-series storage</w:t>
            </w:r>
          </w:p>
        </w:tc>
      </w:tr>
      <w:tr>
        <w:tc>
          <w:tcPr>
            <w:tcW w:type="dxa" w:w="2256"/>
            <w:vAlign w:val="center"/>
            <w:shd w:val="clear" w:color="auto" w:fill="F6EFE6"/>
          </w:tcPr>
          <w:p>
            <w:pPr>
              <w:spacing w:after="0"/>
            </w:pPr>
            <w:r/>
            <w:r>
              <w:rPr>
                <w:sz w:val="19"/>
              </w:rPr>
              <w:t>Leaflet</w:t>
            </w:r>
          </w:p>
        </w:tc>
        <w:tc>
          <w:tcPr>
            <w:tcW w:type="dxa" w:w="6769"/>
            <w:vAlign w:val="center"/>
            <w:shd w:val="clear" w:color="auto" w:fill="F6EFE6"/>
          </w:tcPr>
          <w:p>
            <w:pPr>
              <w:spacing w:after="0"/>
            </w:pPr>
            <w:r/>
            <w:r>
              <w:rPr>
                <w:sz w:val="19"/>
              </w:rPr>
              <w:t>Interactive map</w:t>
            </w:r>
          </w:p>
        </w:tc>
      </w:tr>
    </w:tbl>
    <w:p>
      <w:pPr>
        <w:spacing w:after="80"/>
      </w:pPr>
    </w:p>
    <w:p>
      <w:pPr>
        <w:pStyle w:val="Caption"/>
        <w:jc w:val="center"/>
      </w:pPr>
      <w:r>
        <w:t>Table 4.1: Technology stack</w:t>
      </w:r>
    </w:p>
    <w:p>
      <w:pPr>
        <w:pStyle w:val="Heading1"/>
      </w:pPr>
      <w:r>
        <w:t>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A16207"/>
          </w:tcPr>
          <w:p>
            <w:pPr>
              <w:spacing w:after="0"/>
            </w:pPr>
            <w:r/>
            <w:r>
              <w:rPr>
                <w:b/>
                <w:color w:val="FFFFFF"/>
                <w:sz w:val="19"/>
              </w:rPr>
              <w:t>Phase</w:t>
            </w:r>
          </w:p>
        </w:tc>
        <w:tc>
          <w:tcPr>
            <w:tcW w:type="dxa" w:w="1612"/>
            <w:vAlign w:val="center"/>
            <w:shd w:val="clear" w:color="auto" w:fill="A16207"/>
          </w:tcPr>
          <w:p>
            <w:pPr>
              <w:spacing w:after="0"/>
            </w:pPr>
            <w:r/>
            <w:r>
              <w:rPr>
                <w:b/>
                <w:color w:val="FFFFFF"/>
                <w:sz w:val="19"/>
              </w:rPr>
              <w:t>Month</w:t>
            </w:r>
          </w:p>
        </w:tc>
        <w:tc>
          <w:tcPr>
            <w:tcW w:type="dxa" w:w="5157"/>
            <w:vAlign w:val="center"/>
            <w:shd w:val="clear" w:color="auto" w:fill="A16207"/>
          </w:tcPr>
          <w:p>
            <w:pPr>
              <w:spacing w:after="0"/>
            </w:pPr>
            <w:r/>
            <w:r>
              <w:rPr>
                <w:b/>
                <w:color w:val="FFFFFF"/>
                <w:sz w:val="19"/>
              </w:rPr>
              <w:t>Activities</w:t>
            </w:r>
          </w:p>
        </w:tc>
      </w:tr>
      <w:tr>
        <w:tc>
          <w:tcPr>
            <w:tcW w:type="dxa" w:w="2256"/>
            <w:vAlign w:val="center"/>
          </w:tcPr>
          <w:p>
            <w:pPr>
              <w:spacing w:after="0"/>
            </w:pPr>
            <w:r/>
            <w:r>
              <w:rPr>
                <w:sz w:val="19"/>
              </w:rPr>
              <w:t>Requirement study</w:t>
            </w:r>
          </w:p>
        </w:tc>
        <w:tc>
          <w:tcPr>
            <w:tcW w:type="dxa" w:w="1612"/>
            <w:vAlign w:val="center"/>
          </w:tcPr>
          <w:p>
            <w:pPr>
              <w:spacing w:after="0"/>
            </w:pPr>
            <w:r/>
            <w:r>
              <w:rPr>
                <w:sz w:val="19"/>
              </w:rPr>
              <w:t>July</w:t>
            </w:r>
          </w:p>
        </w:tc>
        <w:tc>
          <w:tcPr>
            <w:tcW w:type="dxa" w:w="5157"/>
            <w:vAlign w:val="center"/>
          </w:tcPr>
          <w:p>
            <w:pPr>
              <w:spacing w:after="0"/>
            </w:pPr>
            <w:r/>
            <w:r>
              <w:rPr>
                <w:sz w:val="19"/>
              </w:rPr>
              <w:t>Survey, interviews, requirement document</w:t>
            </w:r>
          </w:p>
        </w:tc>
      </w:tr>
      <w:tr>
        <w:tc>
          <w:tcPr>
            <w:tcW w:type="dxa" w:w="2256"/>
            <w:vAlign w:val="center"/>
            <w:shd w:val="clear" w:color="auto" w:fill="F6EFE6"/>
          </w:tcPr>
          <w:p>
            <w:pPr>
              <w:spacing w:after="0"/>
            </w:pPr>
            <w:r/>
            <w:r>
              <w:rPr>
                <w:sz w:val="19"/>
              </w:rPr>
              <w:t>Design</w:t>
            </w:r>
          </w:p>
        </w:tc>
        <w:tc>
          <w:tcPr>
            <w:tcW w:type="dxa" w:w="1612"/>
            <w:vAlign w:val="center"/>
            <w:shd w:val="clear" w:color="auto" w:fill="F6EFE6"/>
          </w:tcPr>
          <w:p>
            <w:pPr>
              <w:spacing w:after="0"/>
            </w:pPr>
            <w:r/>
            <w:r>
              <w:rPr>
                <w:sz w:val="19"/>
              </w:rPr>
              <w:t>August</w:t>
            </w:r>
          </w:p>
        </w:tc>
        <w:tc>
          <w:tcPr>
            <w:tcW w:type="dxa" w:w="5157"/>
            <w:vAlign w:val="center"/>
            <w:shd w:val="clear" w:color="auto" w:fill="F6EFE6"/>
          </w:tcPr>
          <w:p>
            <w:pPr>
              <w:spacing w:after="0"/>
            </w:pPr>
            <w:r/>
            <w:r>
              <w:rPr>
                <w:sz w:val="19"/>
              </w:rPr>
              <w:t>Architecture, database, wireframes</w:t>
            </w:r>
          </w:p>
        </w:tc>
      </w:tr>
      <w:tr>
        <w:tc>
          <w:tcPr>
            <w:tcW w:type="dxa" w:w="2256"/>
            <w:vAlign w:val="center"/>
          </w:tcPr>
          <w:p>
            <w:pPr>
              <w:spacing w:after="0"/>
            </w:pPr>
            <w:r/>
            <w:r>
              <w:rPr>
                <w:sz w:val="19"/>
              </w:rPr>
              <w:t>Development</w:t>
            </w:r>
          </w:p>
        </w:tc>
        <w:tc>
          <w:tcPr>
            <w:tcW w:type="dxa" w:w="1612"/>
            <w:vAlign w:val="center"/>
          </w:tcPr>
          <w:p>
            <w:pPr>
              <w:spacing w:after="0"/>
            </w:pPr>
            <w:r/>
            <w:r>
              <w:rPr>
                <w:sz w:val="19"/>
              </w:rPr>
              <w:t>Sep–Oct</w:t>
            </w:r>
          </w:p>
        </w:tc>
        <w:tc>
          <w:tcPr>
            <w:tcW w:type="dxa" w:w="5157"/>
            <w:vAlign w:val="center"/>
          </w:tcPr>
          <w:p>
            <w:pPr>
              <w:spacing w:after="0"/>
            </w:pPr>
            <w:r/>
            <w:r>
              <w:rPr>
                <w:sz w:val="19"/>
              </w:rPr>
              <w:t>Module coding and unit testing</w:t>
            </w:r>
          </w:p>
        </w:tc>
      </w:tr>
      <w:tr>
        <w:tc>
          <w:tcPr>
            <w:tcW w:type="dxa" w:w="2256"/>
            <w:vAlign w:val="center"/>
            <w:shd w:val="clear" w:color="auto" w:fill="F6EFE6"/>
          </w:tcPr>
          <w:p>
            <w:pPr>
              <w:spacing w:after="0"/>
            </w:pPr>
            <w:r/>
            <w:r>
              <w:rPr>
                <w:sz w:val="19"/>
              </w:rPr>
              <w:t>Testing</w:t>
            </w:r>
          </w:p>
        </w:tc>
        <w:tc>
          <w:tcPr>
            <w:tcW w:type="dxa" w:w="1612"/>
            <w:vAlign w:val="center"/>
            <w:shd w:val="clear" w:color="auto" w:fill="F6EFE6"/>
          </w:tcPr>
          <w:p>
            <w:pPr>
              <w:spacing w:after="0"/>
            </w:pPr>
            <w:r/>
            <w:r>
              <w:rPr>
                <w:sz w:val="19"/>
              </w:rPr>
              <w:t>November</w:t>
            </w:r>
          </w:p>
        </w:tc>
        <w:tc>
          <w:tcPr>
            <w:tcW w:type="dxa" w:w="5157"/>
            <w:vAlign w:val="center"/>
            <w:shd w:val="clear" w:color="auto" w:fill="F6EFE6"/>
          </w:tcPr>
          <w:p>
            <w:pPr>
              <w:spacing w:after="0"/>
            </w:pPr>
            <w:r/>
            <w:r>
              <w:rPr>
                <w:sz w:val="19"/>
              </w:rPr>
              <w:t>Integration and user testing</w:t>
            </w:r>
          </w:p>
        </w:tc>
      </w:tr>
      <w:tr>
        <w:tc>
          <w:tcPr>
            <w:tcW w:type="dxa" w:w="2256"/>
            <w:vAlign w:val="center"/>
          </w:tcPr>
          <w:p>
            <w:pPr>
              <w:spacing w:after="0"/>
            </w:pPr>
            <w:r/>
            <w:r>
              <w:rPr>
                <w:sz w:val="19"/>
              </w:rPr>
              <w:t>Documentation</w:t>
            </w:r>
          </w:p>
        </w:tc>
        <w:tc>
          <w:tcPr>
            <w:tcW w:type="dxa" w:w="1612"/>
            <w:vAlign w:val="center"/>
          </w:tcPr>
          <w:p>
            <w:pPr>
              <w:spacing w:after="0"/>
            </w:pPr>
            <w:r/>
            <w:r>
              <w:rPr>
                <w:sz w:val="19"/>
              </w:rPr>
              <w:t>December</w:t>
            </w:r>
          </w:p>
        </w:tc>
        <w:tc>
          <w:tcPr>
            <w:tcW w:type="dxa" w:w="5157"/>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Measure module</w:t>
      </w:r>
    </w:p>
    <w:p>
      <w:pPr>
        <w:jc w:val="both"/>
      </w:pPr>
      <w:r>
        <w:t>PMS5003 and CO₂ sensors in each node. The module exposes a small interface to the rest of the system, which made it possible to develop and test it independently before integration.</w:t>
      </w:r>
    </w:p>
    <w:p>
      <w:pPr>
        <w:pStyle w:val="Heading3"/>
      </w:pPr>
      <w:r>
        <w:t>4.3.2  Transmit module</w:t>
      </w:r>
    </w:p>
    <w:p>
      <w:pPr>
        <w:jc w:val="both"/>
      </w:pPr>
      <w:r>
        <w:t>LoRa sends readings to a gateway. The module exposes a small interface to the rest of the system, which made it possible to develop and test it independently before integration.</w:t>
      </w:r>
    </w:p>
    <w:p>
      <w:pPr>
        <w:pStyle w:val="Heading3"/>
      </w:pPr>
      <w:r>
        <w:t>4.3.3  Calibrate module</w:t>
      </w:r>
    </w:p>
    <w:p>
      <w:pPr>
        <w:jc w:val="both"/>
      </w:pPr>
      <w:r>
        <w:t>Correction model on the server. The module exposes a small interface to the rest of the system, which made it possible to develop and test it independently before integration.</w:t>
      </w:r>
    </w:p>
    <w:p>
      <w:pPr>
        <w:pStyle w:val="Heading3"/>
      </w:pPr>
      <w:r>
        <w:t>4.3.4  Visualise module</w:t>
      </w:r>
    </w:p>
    <w:p>
      <w:pPr>
        <w:jc w:val="both"/>
      </w:pPr>
      <w:r>
        <w:t>Live map and alerts. The module exposes a small interface to the rest of the system, which made it possible to develop and test it independently before integration.</w:t>
      </w:r>
    </w:p>
    <w:p>
      <w:pPr>
        <w:pStyle w:val="Heading1"/>
      </w:pPr>
      <w:r>
        <w:t>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A16207"/>
          </w:tcPr>
          <w:p>
            <w:pPr>
              <w:spacing w:after="0"/>
            </w:pPr>
            <w:r/>
            <w:r>
              <w:rPr>
                <w:b/>
                <w:color w:val="FFFFFF"/>
                <w:sz w:val="19"/>
              </w:rPr>
              <w:t>ID</w:t>
            </w:r>
          </w:p>
        </w:tc>
        <w:tc>
          <w:tcPr>
            <w:tcW w:type="dxa" w:w="1907"/>
            <w:vAlign w:val="center"/>
            <w:shd w:val="clear" w:color="auto" w:fill="A16207"/>
          </w:tcPr>
          <w:p>
            <w:pPr>
              <w:spacing w:after="0"/>
            </w:pPr>
            <w:r/>
            <w:r>
              <w:rPr>
                <w:b/>
                <w:color w:val="FFFFFF"/>
                <w:sz w:val="19"/>
              </w:rPr>
              <w:t>Module</w:t>
            </w:r>
          </w:p>
        </w:tc>
        <w:tc>
          <w:tcPr>
            <w:tcW w:type="dxa" w:w="2288"/>
            <w:vAlign w:val="center"/>
            <w:shd w:val="clear" w:color="auto" w:fill="A16207"/>
          </w:tcPr>
          <w:p>
            <w:pPr>
              <w:spacing w:after="0"/>
            </w:pPr>
            <w:r/>
            <w:r>
              <w:rPr>
                <w:b/>
                <w:color w:val="FFFFFF"/>
                <w:sz w:val="19"/>
              </w:rPr>
              <w:t>Test</w:t>
            </w:r>
          </w:p>
        </w:tc>
        <w:tc>
          <w:tcPr>
            <w:tcW w:type="dxa" w:w="2797"/>
            <w:vAlign w:val="center"/>
            <w:shd w:val="clear" w:color="auto" w:fill="A16207"/>
          </w:tcPr>
          <w:p>
            <w:pPr>
              <w:spacing w:after="0"/>
            </w:pPr>
            <w:r/>
            <w:r>
              <w:rPr>
                <w:b/>
                <w:color w:val="FFFFFF"/>
                <w:sz w:val="19"/>
              </w:rPr>
              <w:t>Expected result</w:t>
            </w:r>
          </w:p>
        </w:tc>
        <w:tc>
          <w:tcPr>
            <w:tcW w:type="dxa" w:w="1017"/>
            <w:vAlign w:val="center"/>
            <w:shd w:val="clear" w:color="auto" w:fill="A16207"/>
          </w:tcPr>
          <w:p>
            <w:pPr>
              <w:spacing w:after="0"/>
            </w:pPr>
            <w:r/>
            <w:r>
              <w:rPr>
                <w:b/>
                <w:color w:val="FFFFFF"/>
                <w:sz w:val="19"/>
              </w:rPr>
              <w:t>Status</w:t>
            </w:r>
          </w:p>
        </w:tc>
      </w:tr>
      <w:tr>
        <w:tc>
          <w:tcPr>
            <w:tcW w:type="dxa" w:w="1017"/>
            <w:vAlign w:val="center"/>
          </w:tcPr>
          <w:p>
            <w:pPr>
              <w:spacing w:after="0"/>
            </w:pPr>
            <w:r/>
            <w:r>
              <w:rPr>
                <w:sz w:val="19"/>
              </w:rPr>
              <w:t>TC-01</w:t>
            </w:r>
          </w:p>
        </w:tc>
        <w:tc>
          <w:tcPr>
            <w:tcW w:type="dxa" w:w="1907"/>
            <w:vAlign w:val="center"/>
          </w:tcPr>
          <w:p>
            <w:pPr>
              <w:spacing w:after="0"/>
            </w:pPr>
            <w:r/>
            <w:r>
              <w:rPr>
                <w:sz w:val="19"/>
              </w:rPr>
              <w:t>Measure</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F6EFE6"/>
          </w:tcPr>
          <w:p>
            <w:pPr>
              <w:spacing w:after="0"/>
            </w:pPr>
            <w:r/>
            <w:r>
              <w:rPr>
                <w:sz w:val="19"/>
              </w:rPr>
              <w:t>TC-02</w:t>
            </w:r>
          </w:p>
        </w:tc>
        <w:tc>
          <w:tcPr>
            <w:tcW w:type="dxa" w:w="1907"/>
            <w:vAlign w:val="center"/>
            <w:shd w:val="clear" w:color="auto" w:fill="F6EFE6"/>
          </w:tcPr>
          <w:p>
            <w:pPr>
              <w:spacing w:after="0"/>
            </w:pPr>
            <w:r/>
            <w:r>
              <w:rPr>
                <w:sz w:val="19"/>
              </w:rPr>
              <w:t>Transmit</w:t>
            </w:r>
          </w:p>
        </w:tc>
        <w:tc>
          <w:tcPr>
            <w:tcW w:type="dxa" w:w="2288"/>
            <w:vAlign w:val="center"/>
            <w:shd w:val="clear" w:color="auto" w:fill="F6EFE6"/>
          </w:tcPr>
          <w:p>
            <w:pPr>
              <w:spacing w:after="0"/>
            </w:pPr>
            <w:r/>
            <w:r>
              <w:rPr>
                <w:sz w:val="19"/>
              </w:rPr>
              <w:t>Valid input</w:t>
            </w:r>
          </w:p>
        </w:tc>
        <w:tc>
          <w:tcPr>
            <w:tcW w:type="dxa" w:w="2797"/>
            <w:vAlign w:val="center"/>
            <w:shd w:val="clear" w:color="auto" w:fill="F6EFE6"/>
          </w:tcPr>
          <w:p>
            <w:pPr>
              <w:spacing w:after="0"/>
            </w:pPr>
            <w:r/>
            <w:r>
              <w:rPr>
                <w:sz w:val="19"/>
              </w:rPr>
              <w:t>Processed correctly</w:t>
            </w:r>
          </w:p>
        </w:tc>
        <w:tc>
          <w:tcPr>
            <w:tcW w:type="dxa" w:w="1017"/>
            <w:vAlign w:val="center"/>
            <w:shd w:val="clear" w:color="auto" w:fill="F6EFE6"/>
          </w:tcPr>
          <w:p>
            <w:pPr>
              <w:spacing w:after="0"/>
            </w:pPr>
            <w:r/>
            <w:r>
              <w:rPr>
                <w:sz w:val="19"/>
              </w:rPr>
              <w:t>Pass</w:t>
            </w:r>
          </w:p>
        </w:tc>
      </w:tr>
      <w:tr>
        <w:tc>
          <w:tcPr>
            <w:tcW w:type="dxa" w:w="1017"/>
            <w:vAlign w:val="center"/>
          </w:tcPr>
          <w:p>
            <w:pPr>
              <w:spacing w:after="0"/>
            </w:pPr>
            <w:r/>
            <w:r>
              <w:rPr>
                <w:sz w:val="19"/>
              </w:rPr>
              <w:t>TC-03</w:t>
            </w:r>
          </w:p>
        </w:tc>
        <w:tc>
          <w:tcPr>
            <w:tcW w:type="dxa" w:w="1907"/>
            <w:vAlign w:val="center"/>
          </w:tcPr>
          <w:p>
            <w:pPr>
              <w:spacing w:after="0"/>
            </w:pPr>
            <w:r/>
            <w:r>
              <w:rPr>
                <w:sz w:val="19"/>
              </w:rPr>
              <w:t>Calibrate</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F6EFE6"/>
          </w:tcPr>
          <w:p>
            <w:pPr>
              <w:spacing w:after="0"/>
            </w:pPr>
            <w:r/>
            <w:r>
              <w:rPr>
                <w:sz w:val="19"/>
              </w:rPr>
              <w:t>TC-04</w:t>
            </w:r>
          </w:p>
        </w:tc>
        <w:tc>
          <w:tcPr>
            <w:tcW w:type="dxa" w:w="1907"/>
            <w:vAlign w:val="center"/>
            <w:shd w:val="clear" w:color="auto" w:fill="F6EFE6"/>
          </w:tcPr>
          <w:p>
            <w:pPr>
              <w:spacing w:after="0"/>
            </w:pPr>
            <w:r/>
            <w:r>
              <w:rPr>
                <w:sz w:val="19"/>
              </w:rPr>
              <w:t>Visualise</w:t>
            </w:r>
          </w:p>
        </w:tc>
        <w:tc>
          <w:tcPr>
            <w:tcW w:type="dxa" w:w="2288"/>
            <w:vAlign w:val="center"/>
            <w:shd w:val="clear" w:color="auto" w:fill="F6EFE6"/>
          </w:tcPr>
          <w:p>
            <w:pPr>
              <w:spacing w:after="0"/>
            </w:pPr>
            <w:r/>
            <w:r>
              <w:rPr>
                <w:sz w:val="19"/>
              </w:rPr>
              <w:t>Valid input</w:t>
            </w:r>
          </w:p>
        </w:tc>
        <w:tc>
          <w:tcPr>
            <w:tcW w:type="dxa" w:w="2797"/>
            <w:vAlign w:val="center"/>
            <w:shd w:val="clear" w:color="auto" w:fill="F6EFE6"/>
          </w:tcPr>
          <w:p>
            <w:pPr>
              <w:spacing w:after="0"/>
            </w:pPr>
            <w:r/>
            <w:r>
              <w:rPr>
                <w:sz w:val="19"/>
              </w:rPr>
              <w:t>Processed correctly</w:t>
            </w:r>
          </w:p>
        </w:tc>
        <w:tc>
          <w:tcPr>
            <w:tcW w:type="dxa" w:w="1017"/>
            <w:vAlign w:val="center"/>
            <w:shd w:val="clear" w:color="auto" w:fill="F6EFE6"/>
          </w:tcPr>
          <w:p>
            <w:pPr>
              <w:spacing w:after="0"/>
            </w:pPr>
            <w:r/>
            <w:r>
              <w:rPr>
                <w:sz w:val="19"/>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A16207"/>
          </w:tcPr>
          <w:p>
            <w:pPr>
              <w:spacing w:after="0"/>
            </w:pPr>
            <w:r/>
            <w:r>
              <w:rPr>
                <w:b/>
                <w:color w:val="FFFFFF"/>
                <w:sz w:val="19"/>
              </w:rPr>
              <w:t>Parameter</w:t>
            </w:r>
          </w:p>
        </w:tc>
        <w:tc>
          <w:tcPr>
            <w:tcW w:type="dxa" w:w="3009"/>
            <w:vAlign w:val="center"/>
            <w:shd w:val="clear" w:color="auto" w:fill="A16207"/>
          </w:tcPr>
          <w:p>
            <w:pPr>
              <w:spacing w:after="0"/>
            </w:pPr>
            <w:r/>
            <w:r>
              <w:rPr>
                <w:b/>
                <w:color w:val="FFFFFF"/>
                <w:sz w:val="19"/>
              </w:rPr>
              <w:t>PM2.5 (µg/m³)</w:t>
            </w:r>
          </w:p>
        </w:tc>
        <w:tc>
          <w:tcPr>
            <w:tcW w:type="dxa" w:w="3009"/>
            <w:vAlign w:val="center"/>
            <w:shd w:val="clear" w:color="auto" w:fill="A16207"/>
          </w:tcPr>
          <w:p>
            <w:pPr>
              <w:spacing w:after="0"/>
            </w:pPr>
            <w:r/>
            <w:r>
              <w:rPr>
                <w:b/>
                <w:color w:val="FFFFFF"/>
                <w:sz w:val="19"/>
              </w:rPr>
              <w:t>Remark</w:t>
            </w:r>
          </w:p>
        </w:tc>
      </w:tr>
      <w:tr>
        <w:tc>
          <w:tcPr>
            <w:tcW w:type="dxa" w:w="3009"/>
            <w:vAlign w:val="center"/>
          </w:tcPr>
          <w:p>
            <w:pPr>
              <w:spacing w:after="0"/>
            </w:pPr>
            <w:r/>
            <w:r>
              <w:rPr>
                <w:sz w:val="19"/>
              </w:rPr>
              <w:t>6 AM</w:t>
            </w:r>
          </w:p>
        </w:tc>
        <w:tc>
          <w:tcPr>
            <w:tcW w:type="dxa" w:w="3009"/>
            <w:vAlign w:val="center"/>
          </w:tcPr>
          <w:p>
            <w:pPr>
              <w:spacing w:after="0"/>
            </w:pPr>
            <w:r/>
            <w:r>
              <w:rPr>
                <w:sz w:val="19"/>
              </w:rPr>
              <w:t>42</w:t>
            </w:r>
          </w:p>
        </w:tc>
        <w:tc>
          <w:tcPr>
            <w:tcW w:type="dxa" w:w="3009"/>
            <w:vAlign w:val="center"/>
          </w:tcPr>
          <w:p>
            <w:pPr>
              <w:spacing w:after="0"/>
            </w:pPr>
            <w:r/>
            <w:r>
              <w:rPr>
                <w:sz w:val="19"/>
              </w:rPr>
              <w:t>Sample value</w:t>
            </w:r>
          </w:p>
        </w:tc>
      </w:tr>
      <w:tr>
        <w:tc>
          <w:tcPr>
            <w:tcW w:type="dxa" w:w="3009"/>
            <w:vAlign w:val="center"/>
            <w:shd w:val="clear" w:color="auto" w:fill="F6EFE6"/>
          </w:tcPr>
          <w:p>
            <w:pPr>
              <w:spacing w:after="0"/>
            </w:pPr>
            <w:r/>
            <w:r>
              <w:rPr>
                <w:sz w:val="19"/>
              </w:rPr>
              <w:t>10 AM</w:t>
            </w:r>
          </w:p>
        </w:tc>
        <w:tc>
          <w:tcPr>
            <w:tcW w:type="dxa" w:w="3009"/>
            <w:vAlign w:val="center"/>
            <w:shd w:val="clear" w:color="auto" w:fill="F6EFE6"/>
          </w:tcPr>
          <w:p>
            <w:pPr>
              <w:spacing w:after="0"/>
            </w:pPr>
            <w:r/>
            <w:r>
              <w:rPr>
                <w:sz w:val="19"/>
              </w:rPr>
              <w:t>88</w:t>
            </w:r>
          </w:p>
        </w:tc>
        <w:tc>
          <w:tcPr>
            <w:tcW w:type="dxa" w:w="3009"/>
            <w:vAlign w:val="center"/>
            <w:shd w:val="clear" w:color="auto" w:fill="F6EFE6"/>
          </w:tcPr>
          <w:p>
            <w:pPr>
              <w:spacing w:after="0"/>
            </w:pPr>
            <w:r/>
            <w:r>
              <w:rPr>
                <w:sz w:val="19"/>
              </w:rPr>
              <w:t>Sample value</w:t>
            </w:r>
          </w:p>
        </w:tc>
      </w:tr>
      <w:tr>
        <w:tc>
          <w:tcPr>
            <w:tcW w:type="dxa" w:w="3009"/>
            <w:vAlign w:val="center"/>
          </w:tcPr>
          <w:p>
            <w:pPr>
              <w:spacing w:after="0"/>
            </w:pPr>
            <w:r/>
            <w:r>
              <w:rPr>
                <w:sz w:val="19"/>
              </w:rPr>
              <w:t>2 PM</w:t>
            </w:r>
          </w:p>
        </w:tc>
        <w:tc>
          <w:tcPr>
            <w:tcW w:type="dxa" w:w="3009"/>
            <w:vAlign w:val="center"/>
          </w:tcPr>
          <w:p>
            <w:pPr>
              <w:spacing w:after="0"/>
            </w:pPr>
            <w:r/>
            <w:r>
              <w:rPr>
                <w:sz w:val="19"/>
              </w:rPr>
              <w:t>61</w:t>
            </w:r>
          </w:p>
        </w:tc>
        <w:tc>
          <w:tcPr>
            <w:tcW w:type="dxa" w:w="3009"/>
            <w:vAlign w:val="center"/>
          </w:tcPr>
          <w:p>
            <w:pPr>
              <w:spacing w:after="0"/>
            </w:pPr>
            <w:r/>
            <w:r>
              <w:rPr>
                <w:sz w:val="19"/>
              </w:rPr>
              <w:t>Sample value</w:t>
            </w:r>
          </w:p>
        </w:tc>
      </w:tr>
      <w:tr>
        <w:tc>
          <w:tcPr>
            <w:tcW w:type="dxa" w:w="3009"/>
            <w:vAlign w:val="center"/>
            <w:shd w:val="clear" w:color="auto" w:fill="F6EFE6"/>
          </w:tcPr>
          <w:p>
            <w:pPr>
              <w:spacing w:after="0"/>
            </w:pPr>
            <w:r/>
            <w:r>
              <w:rPr>
                <w:sz w:val="19"/>
              </w:rPr>
              <w:t>6 PM</w:t>
            </w:r>
          </w:p>
        </w:tc>
        <w:tc>
          <w:tcPr>
            <w:tcW w:type="dxa" w:w="3009"/>
            <w:vAlign w:val="center"/>
            <w:shd w:val="clear" w:color="auto" w:fill="F6EFE6"/>
          </w:tcPr>
          <w:p>
            <w:pPr>
              <w:spacing w:after="0"/>
            </w:pPr>
            <w:r/>
            <w:r>
              <w:rPr>
                <w:sz w:val="19"/>
              </w:rPr>
              <w:t>96</w:t>
            </w:r>
          </w:p>
        </w:tc>
        <w:tc>
          <w:tcPr>
            <w:tcW w:type="dxa" w:w="3009"/>
            <w:vAlign w:val="center"/>
            <w:shd w:val="clear" w:color="auto" w:fill="F6EFE6"/>
          </w:tcPr>
          <w:p>
            <w:pPr>
              <w:spacing w:after="0"/>
            </w:pPr>
            <w:r/>
            <w:r>
              <w:rPr>
                <w:sz w:val="19"/>
              </w:rPr>
              <w:t>Sample value</w:t>
            </w:r>
          </w:p>
        </w:tc>
      </w:tr>
      <w:tr>
        <w:tc>
          <w:tcPr>
            <w:tcW w:type="dxa" w:w="3009"/>
            <w:vAlign w:val="center"/>
          </w:tcPr>
          <w:p>
            <w:pPr>
              <w:spacing w:after="0"/>
            </w:pPr>
            <w:r/>
            <w:r>
              <w:rPr>
                <w:sz w:val="19"/>
              </w:rPr>
              <w:t>10 PM</w:t>
            </w:r>
          </w:p>
        </w:tc>
        <w:tc>
          <w:tcPr>
            <w:tcW w:type="dxa" w:w="3009"/>
            <w:vAlign w:val="center"/>
          </w:tcPr>
          <w:p>
            <w:pPr>
              <w:spacing w:after="0"/>
            </w:pPr>
            <w:r/>
            <w:r>
              <w:rPr>
                <w:sz w:val="19"/>
              </w:rPr>
              <w:t>70</w:t>
            </w:r>
          </w:p>
        </w:tc>
        <w:tc>
          <w:tcPr>
            <w:tcW w:type="dxa" w:w="3009"/>
            <w:vAlign w:val="center"/>
          </w:tcPr>
          <w:p>
            <w:pPr>
              <w:spacing w:after="0"/>
            </w:pPr>
            <w:r/>
            <w:r>
              <w:rPr>
                <w:sz w:val="19"/>
              </w:rPr>
              <w:t>Sample value</w:t>
            </w:r>
          </w:p>
        </w:tc>
      </w:tr>
    </w:tbl>
    <w:p>
      <w:pPr>
        <w:spacing w:after="80"/>
      </w:pPr>
    </w:p>
    <w:p>
      <w:pPr>
        <w:pStyle w:val="Caption"/>
        <w:jc w:val="center"/>
      </w:pPr>
      <w:r>
        <w:t>Table 6.2: Results from the test setup (sample data)</w:t>
      </w:r>
    </w:p>
    <w:p>
      <w:pPr>
        <w:jc w:val="both"/>
      </w:pPr>
      <w:r>
        <w:t>Readings peak with morning and evening traffic, matching the reference station trend.</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6EFE6"/>
            <w:tcBorders>
              <w:left w:val="single" w:sz="36" w:space="0" w:color="A16207"/>
            </w:tcBorders>
          </w:tcPr>
          <w:p>
            <w:pPr>
              <w:spacing w:after="60"/>
            </w:pPr>
            <w:r>
              <w:rPr>
                <w:b/>
                <w:color w:val="A16207"/>
              </w:rPr>
              <w:t>Key result</w:t>
            </w:r>
          </w:p>
          <w:p>
            <w:pPr>
              <w:spacing w:after="0"/>
            </w:pPr>
            <w:r>
              <w:t>0.91 correlation with the reference monitor (sample data from our test setup).</w:t>
            </w:r>
          </w:p>
        </w:tc>
      </w:tr>
    </w:tbl>
    <w:p>
      <w:pPr>
        <w:spacing w:after="40"/>
      </w:pPr>
    </w:p>
    <w:p>
      <w:pPr>
        <w:pStyle w:val="Heading1"/>
      </w:pPr>
      <w:r>
        <w:t>Conclusion and Future Scope</w:t>
      </w:r>
    </w:p>
    <w:p>
      <w:pPr>
        <w:pStyle w:val="Heading2"/>
      </w:pPr>
      <w:r>
        <w:t>6.1  Conclusion</w:t>
      </w:r>
    </w:p>
    <w:p>
      <w:pPr>
        <w:jc w:val="both"/>
      </w:pPr>
      <w:r>
        <w:t>This project set out to design and build air quality monitoring network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Low-cost nodes give useful, local air-quality data</w:t>
      </w:r>
    </w:p>
    <w:p>
      <w:pPr>
        <w:pStyle w:val="ListBullet"/>
      </w:pPr>
      <w:r>
        <w:t>Calibration is essential for accuracy</w:t>
      </w:r>
    </w:p>
    <w:p>
      <w:pPr>
        <w:pStyle w:val="ListBullet"/>
      </w:pPr>
      <w:r>
        <w:t>A live map raises awareness quickly</w:t>
      </w:r>
    </w:p>
    <w:p>
      <w:pPr>
        <w:pStyle w:val="Heading2"/>
      </w:pPr>
      <w:r>
        <w:t>6.2  Future Scope</w:t>
      </w:r>
    </w:p>
    <w:p>
      <w:pPr>
        <w:pStyle w:val="ListBullet"/>
      </w:pPr>
      <w:r>
        <w:t>City scale — Expand to nearby wards</w:t>
      </w:r>
    </w:p>
    <w:p>
      <w:pPr>
        <w:pStyle w:val="ListBullet"/>
      </w:pPr>
      <w:r>
        <w:t>Forecasting — Predict next-day AQI</w:t>
      </w:r>
    </w:p>
    <w:p>
      <w:pPr>
        <w:pStyle w:val="ListBullet"/>
      </w:pPr>
      <w:r>
        <w:t>Health alerts — Notify sensitive groups</w:t>
      </w:r>
    </w:p>
    <w:p>
      <w:pPr>
        <w:pStyle w:val="Heading1"/>
      </w:pPr>
      <w:r>
        <w:t>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ESP32 + LoRa, accessed 2025.</w:t>
      </w:r>
    </w:p>
    <w:p>
      <w:pPr>
        <w:spacing w:after="80"/>
      </w:pPr>
      <w:r>
        <w:t>[5] Official documentation for PMS5003, accessed 2025.</w:t>
      </w:r>
    </w:p>
    <w:p>
      <w:pPr>
        <w:spacing w:after="80"/>
      </w:pPr>
      <w:r>
        <w:t>[6] Official documentation for InfluxDB,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FD0"/>
      </w:pBdr>
    </w:pPr>
    <w:r/>
    <w:r>
      <w:rPr>
        <w:caps/>
        <w:color w:val="74777A"/>
        <w:sz w:val="17"/>
      </w:rPr>
      <w:t>Air Quality Monitoring Network</w:t>
    </w:r>
    <w:r>
      <w:rPr>
        <w:color w:val="74777A"/>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F2328"/>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A16207"/>
      </w:pBdr>
    </w:pPr>
    <w:rPr>
      <w:rFonts w:ascii="PT Serif" w:hAnsi="PT Serif" w:cs="PT Serif" w:eastAsia="PT Serif"/>
      <w:b/>
      <w:bCs/>
      <w:i w:val="0"/>
      <w:color w:val="1F2328"/>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T Serif" w:hAnsi="PT Serif" w:cs="PT Serif" w:eastAsia="PT Serif"/>
      <w:b/>
      <w:bCs/>
      <w:i w:val="0"/>
      <w:color w:val="1F2328"/>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T Serif" w:hAnsi="PT Serif" w:cs="PT Serif" w:eastAsia="PT Serif"/>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T Serif" w:hAnsi="PT Serif" w:cs="PT Serif" w:eastAsia="PT Serif"/>
      <w:b/>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T Serif" w:hAnsi="PT Serif" w:cs="PT Serif" w:eastAsia="PT Serif"/>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Source Sans 3" w:hAnsi="Source Sans 3" w:cs="Source Sans 3" w:eastAsia="Source Sans 3"/>
      <w:b/>
      <w:sz w:val="23"/>
      <w:szCs w:val="23"/>
    </w:rPr>
  </w:style>
  <w:style w:type="paragraph" w:customStyle="1" w:styleId="TOC2">
    <w:name w:val="TOC 2"/>
    <w:basedOn w:val="Normal"/>
    <w:pPr>
      <w:tabs>
        <w:tab w:pos="9026"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