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1D4ED8"/>
          <w:left w:val="thinThickThinMediumGap" w:sz="24" w:space="0" w:color="1D4ED8"/>
          <w:bottom w:val="thinThickThinMediumGap" w:sz="24" w:space="0" w:color="1D4ED8"/>
          <w:right w:val="thinThickThinMediumGap" w:sz="24" w:space="0" w:color="1D4ED8"/>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6F7581"/>
                <w:sz w:val="22"/>
              </w:rPr>
              <w:t>A PROJECT REPORT ON</w:t>
            </w:r>
          </w:p>
          <w:p>
            <w:pPr>
              <w:pStyle w:val="Title"/>
              <w:jc w:val="center"/>
            </w:pPr>
            <w:r>
              <w:rPr>
                <w:color w:val="1D4ED8"/>
                <w:sz w:val="64"/>
              </w:rPr>
              <w:t>Solar Power Monitoring Dashboard</w:t>
            </w:r>
          </w:p>
          <w:p>
            <w:pPr>
              <w:spacing w:after="280"/>
              <w:jc w:val="center"/>
            </w:pPr>
            <w:r>
              <w:rPr>
                <w:b w:val="0"/>
                <w:i/>
                <w:color w:val="172033"/>
                <w:sz w:val="24"/>
              </w:rPr>
              <w:t>Live generation tracking for rooftop solar</w:t>
            </w:r>
          </w:p>
          <w:p>
            <w:pPr>
              <w:spacing w:after="80"/>
              <w:jc w:val="center"/>
            </w:pPr>
            <w:r>
              <w:rPr>
                <w:b w:val="0"/>
                <w:i w:val="0"/>
                <w:color w:val="6F7581"/>
                <w:sz w:val="21"/>
              </w:rPr>
              <w:t>Submitted in partial fulfilment of the requirements for the award of the degree of</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Electrical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D4ED8"/>
                <w:left w:val="thinThickThinMediumGap" w:sz="24" w:space="0" w:color="1D4ED8"/>
                <w:bottom w:val="thinThickThinMediumGap" w:sz="24" w:space="0" w:color="1D4ED8"/>
                <w:right w:val="thinThickThinMediumGap" w:sz="24" w:space="0" w:color="1D4ED8"/>
              </w:tblBorders>
            </w:tblPr>
            <w:tblGrid>
              <w:gridCol w:w="1462"/>
            </w:tblGrid>
            <w:tr>
              <w:trPr>
                <w:trHeight w:val="1463" w:hRule="exact"/>
              </w:trPr>
              <w:tc>
                <w:tcPr>
                  <w:tcW w:type="dxa" w:w="1463"/>
                  <w:shd w:val="clear" w:color="auto" w:fill="E8ED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D4ED8"/>
                      <w:left w:val="single" w:sz="8" w:space="0" w:color="1D4ED8"/>
                      <w:bottom w:val="single" w:sz="8" w:space="0" w:color="1D4ED8"/>
                      <w:right w:val="single" w:sz="8" w:space="0" w:color="1D4ED8"/>
                    </w:tblBorders>
                  </w:tblPr>
                  <w:tblGrid>
                    <w:gridCol w:w="884"/>
                  </w:tblGrid>
                  <w:tr>
                    <w:trPr>
                      <w:trHeight w:val="884" w:hRule="exact"/>
                    </w:trPr>
                    <w:tc>
                      <w:tcPr>
                        <w:tcW w:type="dxa" w:w="884"/>
                        <w:shd w:val="clear" w:color="auto" w:fill="CDD8F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D4ED8"/>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6F7581"/>
                      <w:sz w:val="19"/>
                      <w:spacing w:val="20"/>
                    </w:rPr>
                    <w:t>Submitted by</w:t>
                  </w:r>
                </w:p>
                <w:p>
                  <w:pPr>
                    <w:spacing w:after="0"/>
                    <w:jc w:val="center"/>
                  </w:pPr>
                  <w:r>
                    <w:rPr>
                      <w:b/>
                      <w:i w:val="0"/>
                      <w:color w:val="172033"/>
                      <w:sz w:val="22"/>
                    </w:rPr>
                    <w:t>Ishita Menon (21CS027)</w:t>
                  </w:r>
                </w:p>
                <w:p>
                  <w:pPr>
                    <w:spacing w:after="0"/>
                    <w:jc w:val="center"/>
                  </w:pPr>
                  <w:r>
                    <w:rPr>
                      <w:b/>
                      <w:i w:val="0"/>
                      <w:color w:val="172033"/>
                      <w:sz w:val="22"/>
                    </w:rPr>
                    <w:t>Aarav Sharma (21CS001)</w:t>
                  </w:r>
                </w:p>
                <w:p>
                  <w:pPr>
                    <w:spacing w:after="0"/>
                    <w:jc w:val="center"/>
                  </w:pPr>
                  <w:r>
                    <w:rPr>
                      <w:b/>
                      <w:i w:val="0"/>
                      <w:color w:val="172033"/>
                      <w:sz w:val="22"/>
                    </w:rPr>
                    <w:t>Diya Patel (21CS014)</w:t>
                  </w:r>
                </w:p>
              </w:tc>
              <w:tc>
                <w:tcPr>
                  <w:tcW w:type="dxa" w:w="3946"/>
                </w:tcPr>
                <w:p>
                  <w:pPr>
                    <w:jc w:val="center"/>
                  </w:pPr>
                  <w:r>
                    <w:rPr>
                      <w:b/>
                      <w:i w:val="0"/>
                      <w:caps/>
                      <w:color w:val="6F7581"/>
                      <w:sz w:val="19"/>
                      <w:spacing w:val="20"/>
                    </w:rPr>
                    <w:t>Under the guidance of</w:t>
                  </w:r>
                </w:p>
                <w:p>
                  <w:pPr>
                    <w:spacing w:after="0"/>
                    <w:jc w:val="center"/>
                  </w:pPr>
                  <w:r>
                    <w:rPr>
                      <w:b/>
                      <w:i w:val="0"/>
                      <w:color w:val="172033"/>
                      <w:sz w:val="22"/>
                    </w:rPr>
                    <w:t>Prof. N. Chawla</w:t>
                  </w:r>
                </w:p>
              </w:tc>
            </w:tr>
          </w:tbl>
          <w:p/>
          <w:p>
            <w:pPr>
              <w:spacing w:after="200"/>
              <w:jc w:val="center"/>
            </w:pPr>
            <w:r>
              <w:rPr>
                <w:b w:val="0"/>
                <w:i w:val="0"/>
                <w:color w:val="172033"/>
                <w:sz w:val="12"/>
              </w:rPr>
            </w:r>
          </w:p>
          <w:p>
            <w:pPr>
              <w:spacing w:after="40"/>
              <w:jc w:val="center"/>
            </w:pPr>
            <w:r>
              <w:rPr>
                <w:b/>
                <w:i w:val="0"/>
                <w:color w:val="172033"/>
                <w:sz w:val="22"/>
              </w:rPr>
              <w:t>Department of Electrical Engineering</w:t>
            </w:r>
          </w:p>
          <w:p>
            <w:pPr>
              <w:spacing w:after="40"/>
              <w:jc w:val="center"/>
            </w:pPr>
            <w:r>
              <w:rPr>
                <w:b/>
                <w:i w:val="0"/>
                <w:caps/>
                <w:color w:val="1D4ED8"/>
                <w:sz w:val="26"/>
              </w:rPr>
              <w:t>Your Institute of Technology, City</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D4ED8"/>
          <w:left w:val="thinThickSmallGap" w:sz="18" w:space="0" w:color="1D4ED8"/>
          <w:bottom w:val="thinThickSmallGap" w:sz="18" w:space="0" w:color="1D4ED8"/>
          <w:right w:val="thinThickSmallGap" w:sz="18" w:space="0" w:color="1D4ED8"/>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Outfit" w:hAnsi="Outfit" w:cs="Outfit" w:eastAsia="Outfit"/>
                <w:b/>
                <w:color w:val="1D4ED8"/>
                <w:sz w:val="44"/>
              </w:rPr>
              <w:t>CERTIFICATE</w:t>
            </w:r>
          </w:p>
          <w:p>
            <w:pPr>
              <w:spacing w:after="240" w:line="360" w:lineRule="auto"/>
              <w:jc w:val="both"/>
            </w:pPr>
            <w:r>
              <w:t>This is to certify that the project report entitled “Solar Power Monitoring Dashboard” is a bonafide record of the work carried out by Ishita Menon (21CS027), Aarav Sharma (21CS001), Diya Patel (21CS014) in partial fulfilment of the requirements for the award of the degree of Bachelor of Technology in Electrical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N. Chawla</w:t>
                    <w:br/>
                  </w:r>
                  <w:r>
                    <w:rPr>
                      <w:color w:val="6F7581"/>
                    </w:rPr>
                    <w:t>Project Guide</w:t>
                  </w:r>
                </w:p>
              </w:tc>
              <w:tc>
                <w:tcPr>
                  <w:tcW w:type="dxa" w:w="3009"/>
                </w:tcPr>
                <w:p>
                  <w:pPr>
                    <w:jc w:val="center"/>
                  </w:pPr>
                  <w:r>
                    <w:rPr>
                      <w:b/>
                    </w:rPr>
                    <w:t>Dr. L. Thomas</w:t>
                    <w:br/>
                  </w:r>
                  <w:r>
                    <w:rPr>
                      <w:color w:val="6F7581"/>
                    </w:rPr>
                    <w:t>Head of Department</w:t>
                  </w:r>
                </w:p>
              </w:tc>
              <w:tc>
                <w:tcPr>
                  <w:tcW w:type="dxa" w:w="3009"/>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“Solar Power Monitoring Dashboard” submitted to the Department of Electrical Engineering, Your Institute of Technology,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Ishita Menon · Aarav Sharma · Diya Patel</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L. Thomas, Head of the Department of Electrical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Solar plant monitoring is still handled manually in most places — slow, error-prone and hard to track. Solar Power Monitoring Dashboard addresses this gap. Current methods are manual, slow and hard to scale. Affordable technology now makes automation practical. The system is organised into 4 stages — input, process, store, output — and is built with INA219 sensors, ESP32, InfluxDB. In our test setup it achieved 12% more yield after fault alerts. This report presents the problem, a review of existing approaches, the requirements, the design and implementation, the testing carried out and the results obtained.</w:t>
      </w:r>
    </w:p>
    <w:p>
      <w:r>
        <w:rPr>
          <w:i/>
          <w:color w:val="6F7581"/>
        </w:rPr>
        <w:t>Keywords: INA219 sensors, ESP32, InfluxDB, Grafana</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8</w:t>
      </w:r>
    </w:p>
    <w:p>
      <w:pPr>
        <w:pStyle w:val="TOC1"/>
      </w:pPr>
      <w:r>
        <w:t>02  Literature Review</w:t>
      </w:r>
      <w:r>
        <w:tab/>
        <w:t>9</w:t>
      </w:r>
    </w:p>
    <w:p>
      <w:pPr>
        <w:pStyle w:val="TOC2"/>
      </w:pPr>
      <w:r>
        <w:t>2.1  Existing Work</w:t>
      </w:r>
      <w:r>
        <w:tab/>
        <w:t>9</w:t>
      </w:r>
    </w:p>
    <w:p>
      <w:pPr>
        <w:pStyle w:val="TOC2"/>
      </w:pPr>
      <w:r>
        <w:t>2.2  Research Gap</w:t>
      </w:r>
      <w:r>
        <w:tab/>
        <w:t>9</w:t>
      </w:r>
    </w:p>
    <w:p>
      <w:pPr>
        <w:pStyle w:val="TOC1"/>
      </w:pPr>
      <w:r>
        <w:t>03  System Design</w:t>
      </w:r>
      <w:r>
        <w:tab/>
        <w:t>10</w:t>
      </w:r>
    </w:p>
    <w:p>
      <w:pPr>
        <w:pStyle w:val="TOC2"/>
      </w:pPr>
      <w:r>
        <w:t>3.1  Proposed System</w:t>
      </w:r>
      <w:r>
        <w:tab/>
        <w:t>10</w:t>
      </w:r>
    </w:p>
    <w:p>
      <w:pPr>
        <w:pStyle w:val="TOC2"/>
      </w:pPr>
      <w:r>
        <w:t>3.2  System Architecture</w:t>
      </w:r>
      <w:r>
        <w:tab/>
        <w:t>10</w:t>
      </w:r>
    </w:p>
    <w:p>
      <w:pPr>
        <w:pStyle w:val="TOC2"/>
      </w:pPr>
      <w:r>
        <w:t>3.3  Technology Stack</w:t>
      </w:r>
      <w:r>
        <w:tab/>
        <w:t>11</w:t>
      </w:r>
    </w:p>
    <w:p>
      <w:pPr>
        <w:pStyle w:val="TOC1"/>
      </w:pPr>
      <w:r>
        <w:t>04  Implementation</w:t>
      </w:r>
      <w:r>
        <w:tab/>
        <w:t>12</w:t>
      </w:r>
    </w:p>
    <w:p>
      <w:pPr>
        <w:pStyle w:val="TOC2"/>
      </w:pPr>
      <w:r>
        <w:t>4.1  Methodology</w:t>
      </w:r>
      <w:r>
        <w:tab/>
        <w:t>12</w:t>
      </w:r>
    </w:p>
    <w:p>
      <w:pPr>
        <w:pStyle w:val="TOC2"/>
      </w:pPr>
      <w:r>
        <w:t>4.2  Project Timeline</w:t>
      </w:r>
      <w:r>
        <w:tab/>
        <w:t>12</w:t>
      </w:r>
    </w:p>
    <w:p>
      <w:pPr>
        <w:pStyle w:val="TOC2"/>
      </w:pPr>
      <w:r>
        <w:t>4.3  Module Description</w:t>
      </w:r>
      <w:r>
        <w:tab/>
        <w:t>12</w:t>
      </w:r>
    </w:p>
    <w:p>
      <w:pPr>
        <w:pStyle w:val="TOC1"/>
      </w:pPr>
      <w:r>
        <w:t>05  Testing and Results</w:t>
      </w:r>
      <w:r>
        <w:tab/>
        <w:t>14</w:t>
      </w:r>
    </w:p>
    <w:p>
      <w:pPr>
        <w:pStyle w:val="TOC2"/>
      </w:pPr>
      <w:r>
        <w:t>5.1  Testing Strategy</w:t>
      </w:r>
      <w:r>
        <w:tab/>
        <w:t>14</w:t>
      </w:r>
    </w:p>
    <w:p>
      <w:pPr>
        <w:pStyle w:val="TOC2"/>
      </w:pPr>
      <w:r>
        <w:t>5.2  Test Cases</w:t>
      </w:r>
      <w:r>
        <w:tab/>
        <w:t>14</w:t>
      </w:r>
    </w:p>
    <w:p>
      <w:pPr>
        <w:pStyle w:val="TOC2"/>
      </w:pPr>
      <w:r>
        <w:t>5.3  Results</w:t>
      </w:r>
      <w:r>
        <w:tab/>
        <w:t>14</w:t>
      </w:r>
    </w:p>
    <w:p>
      <w:pPr>
        <w:pStyle w:val="TOC1"/>
      </w:pPr>
      <w:r>
        <w:t>06  Conclusion and Future Scope</w:t>
      </w:r>
      <w:r>
        <w:tab/>
        <w:t>16</w:t>
      </w:r>
    </w:p>
    <w:p>
      <w:pPr>
        <w:pStyle w:val="TOC2"/>
      </w:pPr>
      <w:r>
        <w:t>6.1  Conclusion</w:t>
      </w:r>
      <w:r>
        <w:tab/>
        <w:t>16</w:t>
      </w:r>
    </w:p>
    <w:p>
      <w:pPr>
        <w:pStyle w:val="TOC2"/>
      </w:pPr>
      <w:r>
        <w:t>6.2  Future Scope</w:t>
      </w:r>
      <w:r>
        <w:tab/>
        <w:t>16</w:t>
      </w:r>
    </w:p>
    <w:p>
      <w:pPr>
        <w:pStyle w:val="TOC1"/>
      </w:pPr>
      <w:r>
        <w:t>07  References</w:t>
      </w:r>
      <w:r>
        <w:tab/>
        <w:t>17</w:t>
      </w:r>
    </w:p>
    <w:p>
      <w:pPr>
        <w:spacing w:after="0"/>
      </w:pPr>
      <w:r>
        <w:fldChar w:fldCharType="end"/>
      </w:r>
    </w:p>
    <w:p>
      <w:pPr>
        <w:pStyle w:val="Heading1"/>
      </w:pPr>
      <w:r>
        <w:t>01  Introduction</w:t>
      </w:r>
    </w:p>
    <w:p>
      <w:pPr>
        <w:pStyle w:val="Heading2"/>
      </w:pPr>
      <w:r>
        <w:t>1.1  Background</w:t>
      </w:r>
    </w:p>
    <w:p>
      <w:pPr>
        <w:jc w:val="both"/>
      </w:pPr>
      <w:r>
        <w:t>Solar Power Monitoring Dashboard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Solar plant monitoring is still handled manually in most places — slow, error-prone and hard to track. The key problems identified during our preliminary study are:</w:t>
      </w:r>
    </w:p>
    <w:p>
      <w:pPr>
        <w:pStyle w:val="ListBullet"/>
      </w:pPr>
      <w:r>
        <w:t>Manual work — Solar plant monitoring takes hours of repetitive effort.</w:t>
      </w:r>
    </w:p>
    <w:p>
      <w:pPr>
        <w:pStyle w:val="ListBullet"/>
      </w:pPr>
      <w:r>
        <w:t>Errors — Mistakes creep in and are hard to trace.</w:t>
      </w:r>
    </w:p>
    <w:p>
      <w:pPr>
        <w:pStyle w:val="ListBullet"/>
      </w:pPr>
      <w:r>
        <w:t>No insight — Homeowners and installers lack data to make decisions.</w:t>
      </w:r>
    </w:p>
    <w:p>
      <w:pPr>
        <w:pStyle w:val="Heading2"/>
      </w:pPr>
      <w:r>
        <w:t>1.4  Objectives</w:t>
      </w:r>
    </w:p>
    <w:p>
      <w:r>
        <w:t>The project was planned around the following objectives:</w:t>
      </w:r>
    </w:p>
    <w:p>
      <w:pPr>
        <w:pStyle w:val="ListNumber"/>
      </w:pPr>
      <w:r>
        <w:t>Automate the core steps of solar plant monitoring</w:t>
      </w:r>
    </w:p>
    <w:p>
      <w:pPr>
        <w:pStyle w:val="ListNumber"/>
      </w:pPr>
      <w:r>
        <w:t>Give homeowners and installers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72033"/>
          </w:tcPr>
          <w:p>
            <w:pPr>
              <w:spacing w:after="0"/>
            </w:pPr>
            <w:r/>
            <w:r>
              <w:rPr>
                <w:b/>
                <w:color w:val="FFFFFF"/>
                <w:sz w:val="20"/>
              </w:rPr>
              <w:t>Study / system</w:t>
            </w:r>
          </w:p>
        </w:tc>
        <w:tc>
          <w:tcPr>
            <w:tcW w:type="dxa" w:w="3343"/>
            <w:vAlign w:val="center"/>
            <w:shd w:val="clear" w:color="auto" w:fill="172033"/>
          </w:tcPr>
          <w:p>
            <w:pPr>
              <w:spacing w:after="0"/>
            </w:pPr>
            <w:r/>
            <w:r>
              <w:rPr>
                <w:b/>
                <w:color w:val="FFFFFF"/>
                <w:sz w:val="20"/>
              </w:rPr>
              <w:t>Approach</w:t>
            </w:r>
          </w:p>
        </w:tc>
        <w:tc>
          <w:tcPr>
            <w:tcW w:type="dxa" w:w="3343"/>
            <w:vAlign w:val="center"/>
            <w:shd w:val="clear" w:color="auto" w:fill="172033"/>
          </w:tcPr>
          <w:p>
            <w:pPr>
              <w:spacing w:after="0"/>
            </w:pPr>
            <w:r/>
            <w:r>
              <w:rPr>
                <w:b/>
                <w:color w:val="FFFFFF"/>
                <w:sz w:val="20"/>
              </w:rPr>
              <w:t>Limitation</w:t>
            </w:r>
          </w:p>
        </w:tc>
      </w:tr>
      <w:tr>
        <w:tc>
          <w:tcPr>
            <w:tcW w:type="dxa" w:w="2340"/>
            <w:vAlign w:val="center"/>
          </w:tcPr>
          <w:p>
            <w:pPr>
              <w:spacing w:after="0"/>
            </w:pPr>
            <w:r/>
            <w:r>
              <w:rPr>
                <w:sz w:val="20"/>
              </w:rPr>
              <w:t>Study A</w:t>
            </w:r>
          </w:p>
        </w:tc>
        <w:tc>
          <w:tcPr>
            <w:tcW w:type="dxa" w:w="3343"/>
            <w:vAlign w:val="center"/>
          </w:tcPr>
          <w:p>
            <w:pPr>
              <w:spacing w:after="0"/>
            </w:pPr>
            <w:r/>
            <w:r>
              <w:rPr>
                <w:sz w:val="20"/>
              </w:rPr>
              <w:t>Rule-based automation</w:t>
            </w:r>
          </w:p>
        </w:tc>
        <w:tc>
          <w:tcPr>
            <w:tcW w:type="dxa" w:w="3343"/>
            <w:vAlign w:val="center"/>
          </w:tcPr>
          <w:p>
            <w:pPr>
              <w:spacing w:after="0"/>
            </w:pPr>
            <w:r/>
            <w:r>
              <w:rPr>
                <w:sz w:val="20"/>
              </w:rPr>
              <w:t>Not adaptive</w:t>
            </w:r>
          </w:p>
        </w:tc>
      </w:tr>
      <w:tr>
        <w:tc>
          <w:tcPr>
            <w:tcW w:type="dxa" w:w="2340"/>
            <w:vAlign w:val="center"/>
            <w:shd w:val="clear" w:color="auto" w:fill="E8EDFB"/>
          </w:tcPr>
          <w:p>
            <w:pPr>
              <w:spacing w:after="0"/>
            </w:pPr>
            <w:r/>
            <w:r>
              <w:rPr>
                <w:sz w:val="20"/>
              </w:rPr>
              <w:t>Study B</w:t>
            </w:r>
          </w:p>
        </w:tc>
        <w:tc>
          <w:tcPr>
            <w:tcW w:type="dxa" w:w="3343"/>
            <w:vAlign w:val="center"/>
            <w:shd w:val="clear" w:color="auto" w:fill="E8EDFB"/>
          </w:tcPr>
          <w:p>
            <w:pPr>
              <w:spacing w:after="0"/>
            </w:pPr>
            <w:r/>
            <w:r>
              <w:rPr>
                <w:sz w:val="20"/>
              </w:rPr>
              <w:t>Mobile data collection</w:t>
            </w:r>
          </w:p>
        </w:tc>
        <w:tc>
          <w:tcPr>
            <w:tcW w:type="dxa" w:w="3343"/>
            <w:vAlign w:val="center"/>
            <w:shd w:val="clear" w:color="auto" w:fill="E8EDFB"/>
          </w:tcPr>
          <w:p>
            <w:pPr>
              <w:spacing w:after="0"/>
            </w:pPr>
            <w:r/>
            <w:r>
              <w:rPr>
                <w:sz w:val="20"/>
              </w:rPr>
              <w:t>No analytics</w:t>
            </w:r>
          </w:p>
        </w:tc>
      </w:tr>
      <w:tr>
        <w:tc>
          <w:tcPr>
            <w:tcW w:type="dxa" w:w="2340"/>
            <w:vAlign w:val="center"/>
          </w:tcPr>
          <w:p>
            <w:pPr>
              <w:spacing w:after="0"/>
            </w:pPr>
            <w:r/>
            <w:r>
              <w:rPr>
                <w:sz w:val="20"/>
              </w:rPr>
              <w:t>Commercial tools</w:t>
            </w:r>
          </w:p>
        </w:tc>
        <w:tc>
          <w:tcPr>
            <w:tcW w:type="dxa" w:w="3343"/>
            <w:vAlign w:val="center"/>
          </w:tcPr>
          <w:p>
            <w:pPr>
              <w:spacing w:after="0"/>
            </w:pPr>
            <w:r/>
            <w:r>
              <w:rPr>
                <w:sz w:val="20"/>
              </w:rPr>
              <w:t>Full-featured suites</w:t>
            </w:r>
          </w:p>
        </w:tc>
        <w:tc>
          <w:tcPr>
            <w:tcW w:type="dxa" w:w="3343"/>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72033"/>
          </w:tcPr>
          <w:p>
            <w:pPr>
              <w:spacing w:after="0"/>
            </w:pPr>
            <w:r/>
            <w:r>
              <w:rPr>
                <w:b/>
                <w:color w:val="FFFFFF"/>
                <w:sz w:val="20"/>
              </w:rPr>
              <w:t>Existing system</w:t>
            </w:r>
          </w:p>
        </w:tc>
        <w:tc>
          <w:tcPr>
            <w:tcW w:type="dxa" w:w="4513"/>
            <w:vAlign w:val="center"/>
            <w:shd w:val="clear" w:color="auto" w:fill="172033"/>
          </w:tcPr>
          <w:p>
            <w:pPr>
              <w:spacing w:after="0"/>
            </w:pPr>
            <w:r/>
            <w:r>
              <w:rPr>
                <w:b/>
                <w:color w:val="FFFFFF"/>
                <w:sz w:val="20"/>
              </w:rPr>
              <w:t>Proposed system</w:t>
            </w:r>
          </w:p>
        </w:tc>
      </w:tr>
      <w:tr>
        <w:tc>
          <w:tcPr>
            <w:tcW w:type="dxa" w:w="4513"/>
            <w:vAlign w:val="center"/>
          </w:tcPr>
          <w:p>
            <w:pPr>
              <w:spacing w:after="0"/>
            </w:pPr>
            <w:r/>
            <w:r>
              <w:rPr>
                <w:sz w:val="20"/>
              </w:rPr>
              <w:t>Manual records</w:t>
            </w:r>
          </w:p>
        </w:tc>
        <w:tc>
          <w:tcPr>
            <w:tcW w:type="dxa" w:w="4513"/>
            <w:vAlign w:val="center"/>
          </w:tcPr>
          <w:p>
            <w:pPr>
              <w:spacing w:after="0"/>
            </w:pPr>
            <w:r/>
            <w:r>
              <w:rPr>
                <w:sz w:val="20"/>
              </w:rPr>
              <w:t>Automated workflow</w:t>
            </w:r>
          </w:p>
        </w:tc>
      </w:tr>
      <w:tr>
        <w:tc>
          <w:tcPr>
            <w:tcW w:type="dxa" w:w="4513"/>
            <w:vAlign w:val="center"/>
            <w:shd w:val="clear" w:color="auto" w:fill="E8EDFB"/>
          </w:tcPr>
          <w:p>
            <w:pPr>
              <w:spacing w:after="0"/>
            </w:pPr>
            <w:r/>
            <w:r>
              <w:rPr>
                <w:sz w:val="20"/>
              </w:rPr>
              <w:t>Slow turnaround</w:t>
            </w:r>
          </w:p>
        </w:tc>
        <w:tc>
          <w:tcPr>
            <w:tcW w:type="dxa" w:w="4513"/>
            <w:vAlign w:val="center"/>
            <w:shd w:val="clear" w:color="auto" w:fill="E8EDFB"/>
          </w:tcPr>
          <w:p>
            <w:pPr>
              <w:spacing w:after="0"/>
            </w:pPr>
            <w:r/>
            <w:r>
              <w:rPr>
                <w:sz w:val="20"/>
              </w:rPr>
              <w:t>Real-time dashboard</w:t>
            </w:r>
          </w:p>
        </w:tc>
      </w:tr>
      <w:tr>
        <w:tc>
          <w:tcPr>
            <w:tcW w:type="dxa" w:w="4513"/>
            <w:vAlign w:val="center"/>
          </w:tcPr>
          <w:p>
            <w:pPr>
              <w:spacing w:after="0"/>
            </w:pPr>
            <w:r/>
            <w:r>
              <w:rPr>
                <w:sz w:val="20"/>
              </w:rPr>
              <w:t>No reports</w:t>
            </w:r>
          </w:p>
        </w:tc>
        <w:tc>
          <w:tcPr>
            <w:tcW w:type="dxa" w:w="4513"/>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DFB"/>
            <w:tcBorders>
              <w:left w:val="single" w:sz="36" w:space="0" w:color="1D4ED8"/>
            </w:tcBorders>
          </w:tcPr>
          <w:p>
            <w:pPr>
              <w:spacing w:after="60"/>
            </w:pPr>
            <w:r>
              <w:rPr>
                <w:b/>
                <w:color w:val="1D4ED8"/>
              </w:rPr>
              <w:t>Gap addressed</w:t>
            </w:r>
          </w:p>
          <w:p>
            <w:pPr>
              <w:spacing w:after="0"/>
            </w:pPr>
            <w:r>
              <w:t>No low-cost option combines automated workflow with real-time dashboard. Solar Power Monitoring Dashboard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solar power monitoring dashboard simple to maintain and extend.</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E8EDFB"/>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72033"/>
          </w:tcPr>
          <w:p>
            <w:pPr>
              <w:spacing w:after="0"/>
            </w:pPr>
            <w:r/>
            <w:r>
              <w:rPr>
                <w:b/>
                <w:color w:val="FFFFFF"/>
                <w:sz w:val="20"/>
              </w:rPr>
              <w:t>Stage</w:t>
            </w:r>
          </w:p>
        </w:tc>
        <w:tc>
          <w:tcPr>
            <w:tcW w:type="dxa" w:w="7091"/>
            <w:vAlign w:val="center"/>
            <w:shd w:val="clear" w:color="auto" w:fill="172033"/>
          </w:tcPr>
          <w:p>
            <w:pPr>
              <w:spacing w:after="0"/>
            </w:pPr>
            <w:r/>
            <w:r>
              <w:rPr>
                <w:b/>
                <w:color w:val="FFFFFF"/>
                <w:sz w:val="20"/>
              </w:rPr>
              <w:t>What happens</w:t>
            </w:r>
          </w:p>
        </w:tc>
      </w:tr>
      <w:tr>
        <w:tc>
          <w:tcPr>
            <w:tcW w:type="dxa" w:w="1934"/>
            <w:vAlign w:val="center"/>
          </w:tcPr>
          <w:p>
            <w:pPr>
              <w:spacing w:after="0"/>
            </w:pPr>
            <w:r/>
            <w:r>
              <w:rPr>
                <w:sz w:val="20"/>
              </w:rPr>
              <w:t>Input</w:t>
            </w:r>
          </w:p>
        </w:tc>
        <w:tc>
          <w:tcPr>
            <w:tcW w:type="dxa" w:w="7091"/>
            <w:vAlign w:val="center"/>
          </w:tcPr>
          <w:p>
            <w:pPr>
              <w:spacing w:after="0"/>
            </w:pPr>
            <w:r/>
            <w:r>
              <w:rPr>
                <w:sz w:val="20"/>
              </w:rPr>
              <w:t>Data captured from users or sensors</w:t>
            </w:r>
          </w:p>
        </w:tc>
      </w:tr>
      <w:tr>
        <w:tc>
          <w:tcPr>
            <w:tcW w:type="dxa" w:w="1934"/>
            <w:vAlign w:val="center"/>
            <w:shd w:val="clear" w:color="auto" w:fill="E8EDFB"/>
          </w:tcPr>
          <w:p>
            <w:pPr>
              <w:spacing w:after="0"/>
            </w:pPr>
            <w:r/>
            <w:r>
              <w:rPr>
                <w:sz w:val="20"/>
              </w:rPr>
              <w:t>Process</w:t>
            </w:r>
          </w:p>
        </w:tc>
        <w:tc>
          <w:tcPr>
            <w:tcW w:type="dxa" w:w="7091"/>
            <w:vAlign w:val="center"/>
            <w:shd w:val="clear" w:color="auto" w:fill="E8EDFB"/>
          </w:tcPr>
          <w:p>
            <w:pPr>
              <w:spacing w:after="0"/>
            </w:pPr>
            <w:r/>
            <w:r>
              <w:rPr>
                <w:sz w:val="20"/>
              </w:rPr>
              <w:t>Core logic validates and analyses</w:t>
            </w:r>
          </w:p>
        </w:tc>
      </w:tr>
      <w:tr>
        <w:tc>
          <w:tcPr>
            <w:tcW w:type="dxa" w:w="1934"/>
            <w:vAlign w:val="center"/>
          </w:tcPr>
          <w:p>
            <w:pPr>
              <w:spacing w:after="0"/>
            </w:pPr>
            <w:r/>
            <w:r>
              <w:rPr>
                <w:sz w:val="20"/>
              </w:rPr>
              <w:t>Store</w:t>
            </w:r>
          </w:p>
        </w:tc>
        <w:tc>
          <w:tcPr>
            <w:tcW w:type="dxa" w:w="7091"/>
            <w:vAlign w:val="center"/>
          </w:tcPr>
          <w:p>
            <w:pPr>
              <w:spacing w:after="0"/>
            </w:pPr>
            <w:r/>
            <w:r>
              <w:rPr>
                <w:sz w:val="20"/>
              </w:rPr>
              <w:t>Secure database and backups</w:t>
            </w:r>
          </w:p>
        </w:tc>
      </w:tr>
      <w:tr>
        <w:tc>
          <w:tcPr>
            <w:tcW w:type="dxa" w:w="1934"/>
            <w:vAlign w:val="center"/>
            <w:shd w:val="clear" w:color="auto" w:fill="E8EDFB"/>
          </w:tcPr>
          <w:p>
            <w:pPr>
              <w:spacing w:after="0"/>
            </w:pPr>
            <w:r/>
            <w:r>
              <w:rPr>
                <w:sz w:val="20"/>
              </w:rPr>
              <w:t>Output</w:t>
            </w:r>
          </w:p>
        </w:tc>
        <w:tc>
          <w:tcPr>
            <w:tcW w:type="dxa" w:w="7091"/>
            <w:vAlign w:val="center"/>
            <w:shd w:val="clear" w:color="auto" w:fill="E8EDFB"/>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72033"/>
          </w:tcPr>
          <w:p>
            <w:pPr>
              <w:spacing w:after="0"/>
            </w:pPr>
            <w:r/>
            <w:r>
              <w:rPr>
                <w:b/>
                <w:color w:val="FFFFFF"/>
                <w:sz w:val="20"/>
              </w:rPr>
              <w:t>Component</w:t>
            </w:r>
          </w:p>
        </w:tc>
        <w:tc>
          <w:tcPr>
            <w:tcW w:type="dxa" w:w="6769"/>
            <w:vAlign w:val="center"/>
            <w:shd w:val="clear" w:color="auto" w:fill="172033"/>
          </w:tcPr>
          <w:p>
            <w:pPr>
              <w:spacing w:after="0"/>
            </w:pPr>
            <w:r/>
            <w:r>
              <w:rPr>
                <w:b/>
                <w:color w:val="FFFFFF"/>
                <w:sz w:val="20"/>
              </w:rPr>
              <w:t>Purpose</w:t>
            </w:r>
          </w:p>
        </w:tc>
      </w:tr>
      <w:tr>
        <w:tc>
          <w:tcPr>
            <w:tcW w:type="dxa" w:w="2256"/>
            <w:vAlign w:val="center"/>
          </w:tcPr>
          <w:p>
            <w:pPr>
              <w:spacing w:after="0"/>
            </w:pPr>
            <w:r/>
            <w:r>
              <w:rPr>
                <w:sz w:val="20"/>
              </w:rPr>
              <w:t>INA219 sensors</w:t>
            </w:r>
          </w:p>
        </w:tc>
        <w:tc>
          <w:tcPr>
            <w:tcW w:type="dxa" w:w="6769"/>
            <w:vAlign w:val="center"/>
          </w:tcPr>
          <w:p>
            <w:pPr>
              <w:spacing w:after="0"/>
            </w:pPr>
            <w:r/>
            <w:r>
              <w:rPr>
                <w:sz w:val="20"/>
              </w:rPr>
              <w:t>Voltage and current</w:t>
            </w:r>
          </w:p>
        </w:tc>
      </w:tr>
      <w:tr>
        <w:tc>
          <w:tcPr>
            <w:tcW w:type="dxa" w:w="2256"/>
            <w:vAlign w:val="center"/>
            <w:shd w:val="clear" w:color="auto" w:fill="E8EDFB"/>
          </w:tcPr>
          <w:p>
            <w:pPr>
              <w:spacing w:after="0"/>
            </w:pPr>
            <w:r/>
            <w:r>
              <w:rPr>
                <w:sz w:val="20"/>
              </w:rPr>
              <w:t>ESP32</w:t>
            </w:r>
          </w:p>
        </w:tc>
        <w:tc>
          <w:tcPr>
            <w:tcW w:type="dxa" w:w="6769"/>
            <w:vAlign w:val="center"/>
            <w:shd w:val="clear" w:color="auto" w:fill="E8EDFB"/>
          </w:tcPr>
          <w:p>
            <w:pPr>
              <w:spacing w:after="0"/>
            </w:pPr>
            <w:r/>
            <w:r>
              <w:rPr>
                <w:sz w:val="20"/>
              </w:rPr>
              <w:t>Data logger</w:t>
            </w:r>
          </w:p>
        </w:tc>
      </w:tr>
      <w:tr>
        <w:tc>
          <w:tcPr>
            <w:tcW w:type="dxa" w:w="2256"/>
            <w:vAlign w:val="center"/>
          </w:tcPr>
          <w:p>
            <w:pPr>
              <w:spacing w:after="0"/>
            </w:pPr>
            <w:r/>
            <w:r>
              <w:rPr>
                <w:sz w:val="20"/>
              </w:rPr>
              <w:t>InfluxDB</w:t>
            </w:r>
          </w:p>
        </w:tc>
        <w:tc>
          <w:tcPr>
            <w:tcW w:type="dxa" w:w="6769"/>
            <w:vAlign w:val="center"/>
          </w:tcPr>
          <w:p>
            <w:pPr>
              <w:spacing w:after="0"/>
            </w:pPr>
            <w:r/>
            <w:r>
              <w:rPr>
                <w:sz w:val="20"/>
              </w:rPr>
              <w:t>Time-series data</w:t>
            </w:r>
          </w:p>
        </w:tc>
      </w:tr>
      <w:tr>
        <w:tc>
          <w:tcPr>
            <w:tcW w:type="dxa" w:w="2256"/>
            <w:vAlign w:val="center"/>
            <w:shd w:val="clear" w:color="auto" w:fill="E8EDFB"/>
          </w:tcPr>
          <w:p>
            <w:pPr>
              <w:spacing w:after="0"/>
            </w:pPr>
            <w:r/>
            <w:r>
              <w:rPr>
                <w:sz w:val="20"/>
              </w:rPr>
              <w:t>Grafana</w:t>
            </w:r>
          </w:p>
        </w:tc>
        <w:tc>
          <w:tcPr>
            <w:tcW w:type="dxa" w:w="6769"/>
            <w:vAlign w:val="center"/>
            <w:shd w:val="clear" w:color="auto" w:fill="E8EDFB"/>
          </w:tcPr>
          <w:p>
            <w:pPr>
              <w:spacing w:after="0"/>
            </w:pPr>
            <w:r/>
            <w:r>
              <w:rPr>
                <w:sz w:val="20"/>
              </w:rPr>
              <w:t>Dashboard</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72033"/>
          </w:tcPr>
          <w:p>
            <w:pPr>
              <w:spacing w:after="0"/>
            </w:pPr>
            <w:r/>
            <w:r>
              <w:rPr>
                <w:b/>
                <w:color w:val="FFFFFF"/>
                <w:sz w:val="20"/>
              </w:rPr>
              <w:t>Phase</w:t>
            </w:r>
          </w:p>
        </w:tc>
        <w:tc>
          <w:tcPr>
            <w:tcW w:type="dxa" w:w="1612"/>
            <w:vAlign w:val="center"/>
            <w:shd w:val="clear" w:color="auto" w:fill="172033"/>
          </w:tcPr>
          <w:p>
            <w:pPr>
              <w:spacing w:after="0"/>
            </w:pPr>
            <w:r/>
            <w:r>
              <w:rPr>
                <w:b/>
                <w:color w:val="FFFFFF"/>
                <w:sz w:val="20"/>
              </w:rPr>
              <w:t>Month</w:t>
            </w:r>
          </w:p>
        </w:tc>
        <w:tc>
          <w:tcPr>
            <w:tcW w:type="dxa" w:w="5157"/>
            <w:vAlign w:val="center"/>
            <w:shd w:val="clear" w:color="auto" w:fill="172033"/>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E8EDFB"/>
          </w:tcPr>
          <w:p>
            <w:pPr>
              <w:spacing w:after="0"/>
            </w:pPr>
            <w:r/>
            <w:r>
              <w:rPr>
                <w:sz w:val="20"/>
              </w:rPr>
              <w:t>Design</w:t>
            </w:r>
          </w:p>
        </w:tc>
        <w:tc>
          <w:tcPr>
            <w:tcW w:type="dxa" w:w="1612"/>
            <w:vAlign w:val="center"/>
            <w:shd w:val="clear" w:color="auto" w:fill="E8EDFB"/>
          </w:tcPr>
          <w:p>
            <w:pPr>
              <w:spacing w:after="0"/>
            </w:pPr>
            <w:r/>
            <w:r>
              <w:rPr>
                <w:sz w:val="20"/>
              </w:rPr>
              <w:t>August</w:t>
            </w:r>
          </w:p>
        </w:tc>
        <w:tc>
          <w:tcPr>
            <w:tcW w:type="dxa" w:w="5157"/>
            <w:vAlign w:val="center"/>
            <w:shd w:val="clear" w:color="auto" w:fill="E8EDFB"/>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E8EDFB"/>
          </w:tcPr>
          <w:p>
            <w:pPr>
              <w:spacing w:after="0"/>
            </w:pPr>
            <w:r/>
            <w:r>
              <w:rPr>
                <w:sz w:val="20"/>
              </w:rPr>
              <w:t>Testing</w:t>
            </w:r>
          </w:p>
        </w:tc>
        <w:tc>
          <w:tcPr>
            <w:tcW w:type="dxa" w:w="1612"/>
            <w:vAlign w:val="center"/>
            <w:shd w:val="clear" w:color="auto" w:fill="E8EDFB"/>
          </w:tcPr>
          <w:p>
            <w:pPr>
              <w:spacing w:after="0"/>
            </w:pPr>
            <w:r/>
            <w:r>
              <w:rPr>
                <w:sz w:val="20"/>
              </w:rPr>
              <w:t>November</w:t>
            </w:r>
          </w:p>
        </w:tc>
        <w:tc>
          <w:tcPr>
            <w:tcW w:type="dxa" w:w="5157"/>
            <w:vAlign w:val="center"/>
            <w:shd w:val="clear" w:color="auto" w:fill="E8EDFB"/>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72033"/>
          </w:tcPr>
          <w:p>
            <w:pPr>
              <w:spacing w:after="0"/>
            </w:pPr>
            <w:r/>
            <w:r>
              <w:rPr>
                <w:b/>
                <w:color w:val="FFFFFF"/>
                <w:sz w:val="20"/>
              </w:rPr>
              <w:t>ID</w:t>
            </w:r>
          </w:p>
        </w:tc>
        <w:tc>
          <w:tcPr>
            <w:tcW w:type="dxa" w:w="1907"/>
            <w:vAlign w:val="center"/>
            <w:shd w:val="clear" w:color="auto" w:fill="172033"/>
          </w:tcPr>
          <w:p>
            <w:pPr>
              <w:spacing w:after="0"/>
            </w:pPr>
            <w:r/>
            <w:r>
              <w:rPr>
                <w:b/>
                <w:color w:val="FFFFFF"/>
                <w:sz w:val="20"/>
              </w:rPr>
              <w:t>Module</w:t>
            </w:r>
          </w:p>
        </w:tc>
        <w:tc>
          <w:tcPr>
            <w:tcW w:type="dxa" w:w="2288"/>
            <w:vAlign w:val="center"/>
            <w:shd w:val="clear" w:color="auto" w:fill="172033"/>
          </w:tcPr>
          <w:p>
            <w:pPr>
              <w:spacing w:after="0"/>
            </w:pPr>
            <w:r/>
            <w:r>
              <w:rPr>
                <w:b/>
                <w:color w:val="FFFFFF"/>
                <w:sz w:val="20"/>
              </w:rPr>
              <w:t>Test</w:t>
            </w:r>
          </w:p>
        </w:tc>
        <w:tc>
          <w:tcPr>
            <w:tcW w:type="dxa" w:w="2797"/>
            <w:vAlign w:val="center"/>
            <w:shd w:val="clear" w:color="auto" w:fill="172033"/>
          </w:tcPr>
          <w:p>
            <w:pPr>
              <w:spacing w:after="0"/>
            </w:pPr>
            <w:r/>
            <w:r>
              <w:rPr>
                <w:b/>
                <w:color w:val="FFFFFF"/>
                <w:sz w:val="20"/>
              </w:rPr>
              <w:t>Expected result</w:t>
            </w:r>
          </w:p>
        </w:tc>
        <w:tc>
          <w:tcPr>
            <w:tcW w:type="dxa" w:w="1017"/>
            <w:vAlign w:val="center"/>
            <w:shd w:val="clear" w:color="auto" w:fill="172033"/>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Input</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EDFB"/>
          </w:tcPr>
          <w:p>
            <w:pPr>
              <w:spacing w:after="0"/>
            </w:pPr>
            <w:r/>
            <w:r>
              <w:rPr>
                <w:sz w:val="20"/>
              </w:rPr>
              <w:t>TC-02</w:t>
            </w:r>
          </w:p>
        </w:tc>
        <w:tc>
          <w:tcPr>
            <w:tcW w:type="dxa" w:w="1907"/>
            <w:vAlign w:val="center"/>
            <w:shd w:val="clear" w:color="auto" w:fill="E8EDFB"/>
          </w:tcPr>
          <w:p>
            <w:pPr>
              <w:spacing w:after="0"/>
            </w:pPr>
            <w:r/>
            <w:r>
              <w:rPr>
                <w:sz w:val="20"/>
              </w:rPr>
              <w:t>Process</w:t>
            </w:r>
          </w:p>
        </w:tc>
        <w:tc>
          <w:tcPr>
            <w:tcW w:type="dxa" w:w="2288"/>
            <w:vAlign w:val="center"/>
            <w:shd w:val="clear" w:color="auto" w:fill="E8EDFB"/>
          </w:tcPr>
          <w:p>
            <w:pPr>
              <w:spacing w:after="0"/>
            </w:pPr>
            <w:r/>
            <w:r>
              <w:rPr>
                <w:sz w:val="20"/>
              </w:rPr>
              <w:t>Valid input</w:t>
            </w:r>
          </w:p>
        </w:tc>
        <w:tc>
          <w:tcPr>
            <w:tcW w:type="dxa" w:w="2797"/>
            <w:vAlign w:val="center"/>
            <w:shd w:val="clear" w:color="auto" w:fill="E8EDFB"/>
          </w:tcPr>
          <w:p>
            <w:pPr>
              <w:spacing w:after="0"/>
            </w:pPr>
            <w:r/>
            <w:r>
              <w:rPr>
                <w:sz w:val="20"/>
              </w:rPr>
              <w:t>Processed correctly</w:t>
            </w:r>
          </w:p>
        </w:tc>
        <w:tc>
          <w:tcPr>
            <w:tcW w:type="dxa" w:w="1017"/>
            <w:vAlign w:val="center"/>
            <w:shd w:val="clear" w:color="auto" w:fill="E8EDFB"/>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Store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8EDFB"/>
          </w:tcPr>
          <w:p>
            <w:pPr>
              <w:spacing w:after="0"/>
            </w:pPr>
            <w:r/>
            <w:r>
              <w:rPr>
                <w:sz w:val="20"/>
              </w:rPr>
              <w:t>TC-04</w:t>
            </w:r>
          </w:p>
        </w:tc>
        <w:tc>
          <w:tcPr>
            <w:tcW w:type="dxa" w:w="1907"/>
            <w:vAlign w:val="center"/>
            <w:shd w:val="clear" w:color="auto" w:fill="E8EDFB"/>
          </w:tcPr>
          <w:p>
            <w:pPr>
              <w:spacing w:after="0"/>
            </w:pPr>
            <w:r/>
            <w:r>
              <w:rPr>
                <w:sz w:val="20"/>
              </w:rPr>
              <w:t>Output</w:t>
            </w:r>
          </w:p>
        </w:tc>
        <w:tc>
          <w:tcPr>
            <w:tcW w:type="dxa" w:w="2288"/>
            <w:vAlign w:val="center"/>
            <w:shd w:val="clear" w:color="auto" w:fill="E8EDFB"/>
          </w:tcPr>
          <w:p>
            <w:pPr>
              <w:spacing w:after="0"/>
            </w:pPr>
            <w:r/>
            <w:r>
              <w:rPr>
                <w:sz w:val="20"/>
              </w:rPr>
              <w:t>Valid input</w:t>
            </w:r>
          </w:p>
        </w:tc>
        <w:tc>
          <w:tcPr>
            <w:tcW w:type="dxa" w:w="2797"/>
            <w:vAlign w:val="center"/>
            <w:shd w:val="clear" w:color="auto" w:fill="E8EDFB"/>
          </w:tcPr>
          <w:p>
            <w:pPr>
              <w:spacing w:after="0"/>
            </w:pPr>
            <w:r/>
            <w:r>
              <w:rPr>
                <w:sz w:val="20"/>
              </w:rPr>
              <w:t>Processed correctly</w:t>
            </w:r>
          </w:p>
        </w:tc>
        <w:tc>
          <w:tcPr>
            <w:tcW w:type="dxa" w:w="1017"/>
            <w:vAlign w:val="center"/>
            <w:shd w:val="clear" w:color="auto" w:fill="E8EDFB"/>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pPr>
            <w:r/>
            <w:r>
              <w:rPr>
                <w:b/>
                <w:color w:val="FFFFFF"/>
                <w:sz w:val="20"/>
              </w:rPr>
              <w:t>Parameter</w:t>
            </w:r>
          </w:p>
        </w:tc>
        <w:tc>
          <w:tcPr>
            <w:tcW w:type="dxa" w:w="3009"/>
            <w:vAlign w:val="center"/>
            <w:shd w:val="clear" w:color="auto" w:fill="172033"/>
          </w:tcPr>
          <w:p>
            <w:pPr>
              <w:spacing w:after="0"/>
            </w:pPr>
            <w:r/>
            <w:r>
              <w:rPr>
                <w:b/>
                <w:color w:val="FFFFFF"/>
                <w:sz w:val="20"/>
              </w:rPr>
              <w:t>Energy (kWh/day)</w:t>
            </w:r>
          </w:p>
        </w:tc>
        <w:tc>
          <w:tcPr>
            <w:tcW w:type="dxa" w:w="3009"/>
            <w:vAlign w:val="center"/>
            <w:shd w:val="clear" w:color="auto" w:fill="172033"/>
          </w:tcPr>
          <w:p>
            <w:pPr>
              <w:spacing w:after="0"/>
            </w:pPr>
            <w:r/>
            <w:r>
              <w:rPr>
                <w:b/>
                <w:color w:val="FFFFFF"/>
                <w:sz w:val="20"/>
              </w:rPr>
              <w:t>Remark</w:t>
            </w:r>
          </w:p>
        </w:tc>
      </w:tr>
      <w:tr>
        <w:tc>
          <w:tcPr>
            <w:tcW w:type="dxa" w:w="3009"/>
            <w:vAlign w:val="center"/>
          </w:tcPr>
          <w:p>
            <w:pPr>
              <w:spacing w:after="0"/>
            </w:pPr>
            <w:r/>
            <w:r>
              <w:rPr>
                <w:sz w:val="20"/>
              </w:rPr>
              <w:t>Mon</w:t>
            </w:r>
          </w:p>
        </w:tc>
        <w:tc>
          <w:tcPr>
            <w:tcW w:type="dxa" w:w="3009"/>
            <w:vAlign w:val="center"/>
          </w:tcPr>
          <w:p>
            <w:pPr>
              <w:spacing w:after="0"/>
            </w:pPr>
            <w:r/>
            <w:r>
              <w:rPr>
                <w:sz w:val="20"/>
              </w:rPr>
              <w:t>18</w:t>
            </w:r>
          </w:p>
        </w:tc>
        <w:tc>
          <w:tcPr>
            <w:tcW w:type="dxa" w:w="3009"/>
            <w:vAlign w:val="center"/>
          </w:tcPr>
          <w:p>
            <w:pPr>
              <w:spacing w:after="0"/>
            </w:pPr>
            <w:r/>
            <w:r>
              <w:rPr>
                <w:sz w:val="20"/>
              </w:rPr>
              <w:t>Sample value</w:t>
            </w:r>
          </w:p>
        </w:tc>
      </w:tr>
      <w:tr>
        <w:tc>
          <w:tcPr>
            <w:tcW w:type="dxa" w:w="3009"/>
            <w:vAlign w:val="center"/>
            <w:shd w:val="clear" w:color="auto" w:fill="E8EDFB"/>
          </w:tcPr>
          <w:p>
            <w:pPr>
              <w:spacing w:after="0"/>
            </w:pPr>
            <w:r/>
            <w:r>
              <w:rPr>
                <w:sz w:val="20"/>
              </w:rPr>
              <w:t>Tue</w:t>
            </w:r>
          </w:p>
        </w:tc>
        <w:tc>
          <w:tcPr>
            <w:tcW w:type="dxa" w:w="3009"/>
            <w:vAlign w:val="center"/>
            <w:shd w:val="clear" w:color="auto" w:fill="E8EDFB"/>
          </w:tcPr>
          <w:p>
            <w:pPr>
              <w:spacing w:after="0"/>
            </w:pPr>
            <w:r/>
            <w:r>
              <w:rPr>
                <w:sz w:val="20"/>
              </w:rPr>
              <w:t>21</w:t>
            </w:r>
          </w:p>
        </w:tc>
        <w:tc>
          <w:tcPr>
            <w:tcW w:type="dxa" w:w="3009"/>
            <w:vAlign w:val="center"/>
            <w:shd w:val="clear" w:color="auto" w:fill="E8EDFB"/>
          </w:tcPr>
          <w:p>
            <w:pPr>
              <w:spacing w:after="0"/>
            </w:pPr>
            <w:r/>
            <w:r>
              <w:rPr>
                <w:sz w:val="20"/>
              </w:rPr>
              <w:t>Sample value</w:t>
            </w:r>
          </w:p>
        </w:tc>
      </w:tr>
      <w:tr>
        <w:tc>
          <w:tcPr>
            <w:tcW w:type="dxa" w:w="3009"/>
            <w:vAlign w:val="center"/>
          </w:tcPr>
          <w:p>
            <w:pPr>
              <w:spacing w:after="0"/>
            </w:pPr>
            <w:r/>
            <w:r>
              <w:rPr>
                <w:sz w:val="20"/>
              </w:rPr>
              <w:t>Wed</w:t>
            </w:r>
          </w:p>
        </w:tc>
        <w:tc>
          <w:tcPr>
            <w:tcW w:type="dxa" w:w="3009"/>
            <w:vAlign w:val="center"/>
          </w:tcPr>
          <w:p>
            <w:pPr>
              <w:spacing w:after="0"/>
            </w:pPr>
            <w:r/>
            <w:r>
              <w:rPr>
                <w:sz w:val="20"/>
              </w:rPr>
              <w:t>16</w:t>
            </w:r>
          </w:p>
        </w:tc>
        <w:tc>
          <w:tcPr>
            <w:tcW w:type="dxa" w:w="3009"/>
            <w:vAlign w:val="center"/>
          </w:tcPr>
          <w:p>
            <w:pPr>
              <w:spacing w:after="0"/>
            </w:pPr>
            <w:r/>
            <w:r>
              <w:rPr>
                <w:sz w:val="20"/>
              </w:rPr>
              <w:t>Sample value</w:t>
            </w:r>
          </w:p>
        </w:tc>
      </w:tr>
      <w:tr>
        <w:tc>
          <w:tcPr>
            <w:tcW w:type="dxa" w:w="3009"/>
            <w:vAlign w:val="center"/>
            <w:shd w:val="clear" w:color="auto" w:fill="E8EDFB"/>
          </w:tcPr>
          <w:p>
            <w:pPr>
              <w:spacing w:after="0"/>
            </w:pPr>
            <w:r/>
            <w:r>
              <w:rPr>
                <w:sz w:val="20"/>
              </w:rPr>
              <w:t>Thu</w:t>
            </w:r>
          </w:p>
        </w:tc>
        <w:tc>
          <w:tcPr>
            <w:tcW w:type="dxa" w:w="3009"/>
            <w:vAlign w:val="center"/>
            <w:shd w:val="clear" w:color="auto" w:fill="E8EDFB"/>
          </w:tcPr>
          <w:p>
            <w:pPr>
              <w:spacing w:after="0"/>
            </w:pPr>
            <w:r/>
            <w:r>
              <w:rPr>
                <w:sz w:val="20"/>
              </w:rPr>
              <w:t>22</w:t>
            </w:r>
          </w:p>
        </w:tc>
        <w:tc>
          <w:tcPr>
            <w:tcW w:type="dxa" w:w="3009"/>
            <w:vAlign w:val="center"/>
            <w:shd w:val="clear" w:color="auto" w:fill="E8EDFB"/>
          </w:tcPr>
          <w:p>
            <w:pPr>
              <w:spacing w:after="0"/>
            </w:pPr>
            <w:r/>
            <w:r>
              <w:rPr>
                <w:sz w:val="20"/>
              </w:rPr>
              <w:t>Sample value</w:t>
            </w:r>
          </w:p>
        </w:tc>
      </w:tr>
      <w:tr>
        <w:tc>
          <w:tcPr>
            <w:tcW w:type="dxa" w:w="3009"/>
            <w:vAlign w:val="center"/>
          </w:tcPr>
          <w:p>
            <w:pPr>
              <w:spacing w:after="0"/>
            </w:pPr>
            <w:r/>
            <w:r>
              <w:rPr>
                <w:sz w:val="20"/>
              </w:rPr>
              <w:t>Fri</w:t>
            </w:r>
          </w:p>
        </w:tc>
        <w:tc>
          <w:tcPr>
            <w:tcW w:type="dxa" w:w="3009"/>
            <w:vAlign w:val="center"/>
          </w:tcPr>
          <w:p>
            <w:pPr>
              <w:spacing w:after="0"/>
            </w:pPr>
            <w:r/>
            <w:r>
              <w:rPr>
                <w:sz w:val="20"/>
              </w:rPr>
              <w:t>20</w:t>
            </w:r>
          </w:p>
        </w:tc>
        <w:tc>
          <w:tcPr>
            <w:tcW w:type="dxa" w:w="3009"/>
            <w:vAlign w:val="center"/>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DFB"/>
            <w:tcBorders>
              <w:left w:val="single" w:sz="36" w:space="0" w:color="1D4ED8"/>
            </w:tcBorders>
          </w:tcPr>
          <w:p>
            <w:pPr>
              <w:spacing w:after="60"/>
            </w:pPr>
            <w:r>
              <w:rPr>
                <w:b/>
                <w:color w:val="1D4ED8"/>
              </w:rPr>
              <w:t>Key result</w:t>
            </w:r>
          </w:p>
          <w:p>
            <w:pPr>
              <w:spacing w:after="0"/>
            </w:pPr>
            <w:r>
              <w:t>12% more yield after fault alerts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solar power monitoring dashboard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Solar Power Monitoring Dashboard meets its main objectives</w:t>
      </w:r>
    </w:p>
    <w:p>
      <w:pPr>
        <w:pStyle w:val="ListBullet"/>
      </w:pPr>
      <w:r>
        <w:t>Automation saves time and reduces errors for homeowners and installers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INA219 sensors, accessed 2025.</w:t>
      </w:r>
    </w:p>
    <w:p>
      <w:pPr>
        <w:spacing w:after="80"/>
      </w:pPr>
      <w:r>
        <w:t>[5] Official documentation for ESP32, accessed 2025.</w:t>
      </w:r>
    </w:p>
    <w:p>
      <w:pPr>
        <w:spacing w:after="80"/>
      </w:pPr>
      <w:r>
        <w:t>[6] Official documentation for InfluxDB,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of </w:t>
    </w:r>
    <w:r>
      <w:rPr>
        <w:color w:val="6F7581"/>
        <w:sz w:val="18"/>
      </w:rPr>
      <w:fldChar w:fldCharType="begin"/>
    </w:r>
    <w:r>
      <w:rPr>
        <w:color w:val="6F7581"/>
        <w:sz w:val="18"/>
      </w:rPr>
      <w:instrText xml:space="preserve"> NUMPAGES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rPr>
      <w:t>Solar Power Monitoring Dashboard</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D4ED8"/>
      </w:pBdr>
    </w:pPr>
    <w:rPr>
      <w:rFonts w:ascii="Outfit" w:hAnsi="Outfit" w:cs="Outfit" w:eastAsia="Outfit"/>
      <w:b/>
      <w:bCs/>
      <w:i w:val="0"/>
      <w:caps/>
      <w:color w:val="172033"/>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1D4ED8"/>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026"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