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double" w:sz="12" w:space="0" w:color="374151"/>
          <w:left w:val="double" w:sz="12" w:space="0" w:color="374151"/>
          <w:bottom w:val="double" w:sz="12" w:space="0" w:color="374151"/>
          <w:right w:val="double" w:sz="12" w:space="0" w:color="374151"/>
        </w:tblBorders>
        <w:tblCellMar>
          <w:top w:w="300" w:type="dxa"/>
          <w:left w:w="600" w:type="dxa"/>
          <w:bottom w:w="300" w:type="dxa"/>
          <w:right w:w="600" w:type="dxa"/>
        </w:tblCellMar>
      </w:tblPr>
      <w:tblGrid>
        <w:gridCol w:w="9026"/>
      </w:tblGrid>
      <w:tr>
        <w:trPr>
          <w:trHeight w:val="13705" w:hRule="exact"/>
        </w:trPr>
        <w:tc>
          <w:tcPr>
            <w:tcW w:type="dxa" w:w="9026"/>
            <w:vAlign w:val="center"/>
          </w:tcPr>
          <w:p>
            <w:pPr>
              <w:spacing w:after="480"/>
              <w:jc w:val="center"/>
            </w:pPr>
            <w:r>
              <w:rPr>
                <w:b/>
                <w:i w:val="0"/>
                <w:caps/>
                <w:color w:val="374151"/>
                <w:sz w:val="20"/>
                <w:spacing w:val="60"/>
              </w:rPr>
              <w:t>Project Report</w:t>
            </w:r>
          </w:p>
          <w:p>
            <w:pPr>
              <w:pStyle w:val="Title"/>
              <w:jc w:val="center"/>
            </w:pPr>
            <w:r>
              <w:t>Earthquake-Resistant Low-Cost Housing</w:t>
            </w:r>
          </w:p>
          <w:p>
            <w:pPr>
              <w:jc w:val="center"/>
            </w:pPr>
            <w:r>
              <w:rPr>
                <w:b/>
                <w:i w:val="0"/>
                <w:color w:val="374151"/>
                <w:sz w:val="28"/>
              </w:rPr>
              <w:t>———</w:t>
            </w:r>
          </w:p>
          <w:p>
            <w:pPr>
              <w:spacing w:after="1200"/>
              <w:jc w:val="center"/>
            </w:pPr>
            <w:r>
              <w:rPr>
                <w:b w:val="0"/>
                <w:i w:val="0"/>
                <w:color w:val="6F7581"/>
                <w:sz w:val="26"/>
              </w:rPr>
              <w:t>Design study for rural homes</w:t>
            </w:r>
          </w:p>
          <w:p>
            <w:pPr>
              <w:spacing w:after="0"/>
              <w:jc w:val="center"/>
            </w:pPr>
            <w:r>
              <w:rPr>
                <w:b/>
                <w:i w:val="0"/>
                <w:color w:val="6F7581"/>
                <w:sz w:val="16"/>
                <w:spacing w:val="30"/>
              </w:rPr>
              <w:t>SUBMITTED BY</w:t>
            </w:r>
          </w:p>
          <w:p>
            <w:pPr>
              <w:spacing w:after="160"/>
              <w:jc w:val="center"/>
            </w:pPr>
            <w:r>
              <w:rPr>
                <w:b/>
                <w:i w:val="0"/>
                <w:color w:val="172033"/>
                <w:sz w:val="22"/>
              </w:rPr>
              <w:t>Rohan Gupta (21EE008)</w:t>
              <w:br/>
              <w:t>Sneha Nair (21CE017)</w:t>
              <w:br/>
              <w:t>Arjun Rao (21CA005)</w:t>
            </w:r>
          </w:p>
          <w:p>
            <w:pPr>
              <w:spacing w:after="0"/>
              <w:jc w:val="center"/>
            </w:pPr>
            <w:r>
              <w:rPr>
                <w:b/>
                <w:i w:val="0"/>
                <w:color w:val="6F7581"/>
                <w:sz w:val="16"/>
                <w:spacing w:val="30"/>
              </w:rPr>
              <w:t>UNDER THE GUIDANCE OF</w:t>
            </w:r>
          </w:p>
          <w:p>
            <w:pPr>
              <w:spacing w:after="160"/>
              <w:jc w:val="center"/>
            </w:pPr>
            <w:r>
              <w:rPr>
                <w:b/>
                <w:i w:val="0"/>
                <w:color w:val="172033"/>
                <w:sz w:val="22"/>
              </w:rPr>
              <w:t>Prof. N. Chawla</w:t>
            </w:r>
          </w:p>
          <w:p>
            <w:pPr>
              <w:spacing w:after="0"/>
              <w:jc w:val="center"/>
            </w:pPr>
            <w:r>
              <w:rPr>
                <w:b/>
                <w:i w:val="0"/>
                <w:color w:val="6F7581"/>
                <w:sz w:val="16"/>
                <w:spacing w:val="30"/>
              </w:rPr>
              <w:t>DEPARTMENT</w:t>
            </w:r>
          </w:p>
          <w:p>
            <w:pPr>
              <w:spacing w:after="160"/>
              <w:jc w:val="center"/>
            </w:pPr>
            <w:r>
              <w:rPr>
                <w:b/>
                <w:i w:val="0"/>
                <w:color w:val="172033"/>
                <w:sz w:val="22"/>
              </w:rPr>
              <w:t>Civil Engineering</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374151"/>
          <w:left w:val="thinThickSmallGap" w:sz="18" w:space="0" w:color="374151"/>
          <w:bottom w:val="thinThickSmallGap" w:sz="18" w:space="0" w:color="374151"/>
          <w:right w:val="thinThickSmallGap" w:sz="18" w:space="0" w:color="374151"/>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Raleway" w:hAnsi="Raleway" w:cs="Raleway" w:eastAsia="Raleway"/>
                <w:b/>
                <w:color w:val="374151"/>
                <w:sz w:val="44"/>
              </w:rPr>
              <w:t>CERTIFICATE</w:t>
            </w:r>
          </w:p>
          <w:p>
            <w:pPr>
              <w:spacing w:after="240" w:line="360" w:lineRule="auto"/>
              <w:jc w:val="both"/>
            </w:pPr>
            <w:r>
              <w:t>This is to certify that the project report entitled “Earthquake-Resistant Low-Cost Housing” is a bonafide record of the work carried out by Rohan Gupta (21EE008), Sneha Nair (21CE017), Arjun Rao (21CA005) in partial fulfilment of the requirements for the award of the degree of Bachelor of Technology in Civil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N. Chawla</w:t>
                    <w:br/>
                  </w:r>
                  <w:r>
                    <w:rPr>
                      <w:color w:val="6F7581"/>
                    </w:rPr>
                    <w:t>Project Guide</w:t>
                  </w:r>
                </w:p>
              </w:tc>
              <w:tc>
                <w:tcPr>
                  <w:tcW w:type="dxa" w:w="3009"/>
                </w:tcPr>
                <w:p>
                  <w:pPr>
                    <w:jc w:val="center"/>
                  </w:pPr>
                  <w:r>
                    <w:rPr>
                      <w:b/>
                    </w:rPr>
                    <w:t>Dr. L. Thomas</w:t>
                    <w:br/>
                  </w:r>
                  <w:r>
                    <w:rPr>
                      <w:color w:val="6F7581"/>
                    </w:rPr>
                    <w:t>Head of Department</w:t>
                  </w:r>
                </w:p>
              </w:tc>
              <w:tc>
                <w:tcPr>
                  <w:tcW w:type="dxa" w:w="3009"/>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“Earthquake-Resistant Low-Cost Housing” submitted to the Department of Civil Engineering, Sunrise Institute of Engineering &amp; Management,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Rohan Gupta · Sneha Nair · Arjun Rao</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L. Thomas, Head of the Department of Civil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Safe rural house design is still handled manually in most places — slow, error-prone and hard to track. Earthquake-Resistant Low-Cost Housing addresses this gap. Current methods are manual, slow and hard to scale. Affordable technology now makes automation practical. The system is organised into 4 stages — input, process, store, output — and is built with STAAD.Pro, AutoCAD, Shake table. In our test setup it achieved 68% less drift than a plain wall. This report presents the problem, a review of existing approaches, the requirements, the design and implementation, the testing carried out and the results obtained.</w:t>
      </w:r>
    </w:p>
    <w:p>
      <w:r>
        <w:rPr>
          <w:i/>
          <w:color w:val="6F7581"/>
        </w:rPr>
        <w:t>Keywords: STAAD.Pro, AutoCAD, Shake table, Local materials</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Literature Review</w:t>
      </w:r>
      <w:r>
        <w:tab/>
        <w:t>8</w:t>
      </w:r>
    </w:p>
    <w:p>
      <w:pPr>
        <w:pStyle w:val="TOC2"/>
      </w:pPr>
      <w:r>
        <w:t>2.1  Existing Work</w:t>
      </w:r>
      <w:r>
        <w:tab/>
        <w:t>8</w:t>
      </w:r>
    </w:p>
    <w:p>
      <w:pPr>
        <w:pStyle w:val="TOC2"/>
      </w:pPr>
      <w:r>
        <w:t>2.2  Research Gap</w:t>
      </w:r>
      <w:r>
        <w:tab/>
        <w:t>8</w:t>
      </w:r>
    </w:p>
    <w:p>
      <w:pPr>
        <w:pStyle w:val="TOC1"/>
      </w:pPr>
      <w:r>
        <w:t>System Design</w:t>
      </w:r>
      <w:r>
        <w:tab/>
        <w:t>9</w:t>
      </w:r>
    </w:p>
    <w:p>
      <w:pPr>
        <w:pStyle w:val="TOC2"/>
      </w:pPr>
      <w:r>
        <w:t>3.1  Proposed System</w:t>
      </w:r>
      <w:r>
        <w:tab/>
        <w:t>9</w:t>
      </w:r>
    </w:p>
    <w:p>
      <w:pPr>
        <w:pStyle w:val="TOC2"/>
      </w:pPr>
      <w:r>
        <w:t>3.2  System Architecture</w:t>
      </w:r>
      <w:r>
        <w:tab/>
        <w:t>9</w:t>
      </w:r>
    </w:p>
    <w:p>
      <w:pPr>
        <w:pStyle w:val="TOC2"/>
      </w:pPr>
      <w:r>
        <w:t>3.3  Technology Stack</w:t>
      </w:r>
      <w:r>
        <w:tab/>
        <w:t>10</w:t>
      </w:r>
    </w:p>
    <w:p>
      <w:pPr>
        <w:pStyle w:val="TOC1"/>
      </w:pPr>
      <w:r>
        <w:t>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Testing and Results</w:t>
      </w:r>
      <w:r>
        <w:tab/>
        <w:t>13</w:t>
      </w:r>
    </w:p>
    <w:p>
      <w:pPr>
        <w:pStyle w:val="TOC2"/>
      </w:pPr>
      <w:r>
        <w:t>5.1  Testing Strategy</w:t>
      </w:r>
      <w:r>
        <w:tab/>
        <w:t>13</w:t>
      </w:r>
    </w:p>
    <w:p>
      <w:pPr>
        <w:pStyle w:val="TOC2"/>
      </w:pPr>
      <w:r>
        <w:t>5.2  Test Cases</w:t>
      </w:r>
      <w:r>
        <w:tab/>
        <w:t>13</w:t>
      </w:r>
    </w:p>
    <w:p>
      <w:pPr>
        <w:pStyle w:val="TOC2"/>
      </w:pPr>
      <w:r>
        <w:t>5.3  Results</w:t>
      </w:r>
      <w:r>
        <w:tab/>
        <w:t>13</w:t>
      </w:r>
    </w:p>
    <w:p>
      <w:pPr>
        <w:pStyle w:val="TOC1"/>
      </w:pPr>
      <w:r>
        <w:t>Conclusion and Future Scope</w:t>
      </w:r>
      <w:r>
        <w:tab/>
        <w:t>15</w:t>
      </w:r>
    </w:p>
    <w:p>
      <w:pPr>
        <w:pStyle w:val="TOC2"/>
      </w:pPr>
      <w:r>
        <w:t>6.1  Conclusion</w:t>
      </w:r>
      <w:r>
        <w:tab/>
        <w:t>15</w:t>
      </w:r>
    </w:p>
    <w:p>
      <w:pPr>
        <w:pStyle w:val="TOC2"/>
      </w:pPr>
      <w:r>
        <w:t>6.2  Future Scope</w:t>
      </w:r>
      <w:r>
        <w:tab/>
        <w:t>15</w:t>
      </w:r>
    </w:p>
    <w:p>
      <w:pPr>
        <w:pStyle w:val="TOC1"/>
      </w:pPr>
      <w:r>
        <w:t>References</w:t>
      </w:r>
      <w:r>
        <w:tab/>
        <w:t>16</w:t>
      </w:r>
    </w:p>
    <w:p>
      <w:pPr>
        <w:spacing w:after="0"/>
      </w:pPr>
      <w:r>
        <w:fldChar w:fldCharType="end"/>
      </w:r>
    </w:p>
    <w:p>
      <w:pPr>
        <w:pStyle w:val="Heading1"/>
      </w:pPr>
      <w:r>
        <w:t>Introduction</w:t>
      </w:r>
    </w:p>
    <w:p>
      <w:pPr>
        <w:pStyle w:val="Heading2"/>
      </w:pPr>
      <w:r>
        <w:t>1.1  Background</w:t>
      </w:r>
    </w:p>
    <w:p>
      <w:pPr>
        <w:jc w:val="both"/>
      </w:pPr>
      <w:r>
        <w:t>Earthquake-Resistant Low-Cost Housing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Safe rural house design is still handled manually in most places — slow, error-prone and hard to track. The key problems identified during our preliminary study are:</w:t>
      </w:r>
    </w:p>
    <w:p>
      <w:pPr>
        <w:pStyle w:val="ListBullet"/>
      </w:pPr>
      <w:r>
        <w:t>Manual work — Safe rural house design takes hours of repetitive effort.</w:t>
      </w:r>
    </w:p>
    <w:p>
      <w:pPr>
        <w:pStyle w:val="ListBullet"/>
      </w:pPr>
      <w:r>
        <w:t>Errors — Mistakes creep in and are hard to trace.</w:t>
      </w:r>
    </w:p>
    <w:p>
      <w:pPr>
        <w:pStyle w:val="ListBullet"/>
      </w:pPr>
      <w:r>
        <w:t>No insight — Rural families and masons lack data to make decisions.</w:t>
      </w:r>
    </w:p>
    <w:p>
      <w:pPr>
        <w:pStyle w:val="Heading2"/>
      </w:pPr>
      <w:r>
        <w:t>1.4  Objectives</w:t>
      </w:r>
    </w:p>
    <w:p>
      <w:r>
        <w:t>The project was planned around the following objectives:</w:t>
      </w:r>
    </w:p>
    <w:p>
      <w:pPr>
        <w:pStyle w:val="ListNumber"/>
      </w:pPr>
      <w:r>
        <w:t>Automate the core steps of safe rural house design</w:t>
      </w:r>
    </w:p>
    <w:p>
      <w:pPr>
        <w:pStyle w:val="ListNumber"/>
      </w:pPr>
      <w:r>
        <w:t>Give rural families and masons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374151"/>
          </w:tcPr>
          <w:p>
            <w:pPr>
              <w:spacing w:after="0"/>
            </w:pPr>
            <w:r/>
            <w:r>
              <w:rPr>
                <w:b/>
                <w:color w:val="FFFFFF"/>
                <w:sz w:val="20"/>
              </w:rPr>
              <w:t>Study / system</w:t>
            </w:r>
          </w:p>
        </w:tc>
        <w:tc>
          <w:tcPr>
            <w:tcW w:type="dxa" w:w="3343"/>
            <w:vAlign w:val="center"/>
            <w:shd w:val="clear" w:color="auto" w:fill="374151"/>
          </w:tcPr>
          <w:p>
            <w:pPr>
              <w:spacing w:after="0"/>
            </w:pPr>
            <w:r/>
            <w:r>
              <w:rPr>
                <w:b/>
                <w:color w:val="FFFFFF"/>
                <w:sz w:val="20"/>
              </w:rPr>
              <w:t>Approach</w:t>
            </w:r>
          </w:p>
        </w:tc>
        <w:tc>
          <w:tcPr>
            <w:tcW w:type="dxa" w:w="3343"/>
            <w:vAlign w:val="center"/>
            <w:shd w:val="clear" w:color="auto" w:fill="374151"/>
          </w:tcPr>
          <w:p>
            <w:pPr>
              <w:spacing w:after="0"/>
            </w:pPr>
            <w:r/>
            <w:r>
              <w:rPr>
                <w:b/>
                <w:color w:val="FFFFFF"/>
                <w:sz w:val="20"/>
              </w:rPr>
              <w:t>Limitation</w:t>
            </w:r>
          </w:p>
        </w:tc>
      </w:tr>
      <w:tr>
        <w:tc>
          <w:tcPr>
            <w:tcW w:type="dxa" w:w="2340"/>
            <w:vAlign w:val="center"/>
          </w:tcPr>
          <w:p>
            <w:pPr>
              <w:spacing w:after="0"/>
            </w:pPr>
            <w:r/>
            <w:r>
              <w:rPr>
                <w:sz w:val="20"/>
              </w:rPr>
              <w:t>Study A</w:t>
            </w:r>
          </w:p>
        </w:tc>
        <w:tc>
          <w:tcPr>
            <w:tcW w:type="dxa" w:w="3343"/>
            <w:vAlign w:val="center"/>
          </w:tcPr>
          <w:p>
            <w:pPr>
              <w:spacing w:after="0"/>
            </w:pPr>
            <w:r/>
            <w:r>
              <w:rPr>
                <w:sz w:val="20"/>
              </w:rPr>
              <w:t>Rule-based automation</w:t>
            </w:r>
          </w:p>
        </w:tc>
        <w:tc>
          <w:tcPr>
            <w:tcW w:type="dxa" w:w="3343"/>
            <w:vAlign w:val="center"/>
          </w:tcPr>
          <w:p>
            <w:pPr>
              <w:spacing w:after="0"/>
            </w:pPr>
            <w:r/>
            <w:r>
              <w:rPr>
                <w:sz w:val="20"/>
              </w:rPr>
              <w:t>Not adaptive</w:t>
            </w:r>
          </w:p>
        </w:tc>
      </w:tr>
      <w:tr>
        <w:tc>
          <w:tcPr>
            <w:tcW w:type="dxa" w:w="2340"/>
            <w:vAlign w:val="center"/>
            <w:shd w:val="clear" w:color="auto" w:fill="EBECEE"/>
          </w:tcPr>
          <w:p>
            <w:pPr>
              <w:spacing w:after="0"/>
            </w:pPr>
            <w:r/>
            <w:r>
              <w:rPr>
                <w:sz w:val="20"/>
              </w:rPr>
              <w:t>Study B</w:t>
            </w:r>
          </w:p>
        </w:tc>
        <w:tc>
          <w:tcPr>
            <w:tcW w:type="dxa" w:w="3343"/>
            <w:vAlign w:val="center"/>
            <w:shd w:val="clear" w:color="auto" w:fill="EBECEE"/>
          </w:tcPr>
          <w:p>
            <w:pPr>
              <w:spacing w:after="0"/>
            </w:pPr>
            <w:r/>
            <w:r>
              <w:rPr>
                <w:sz w:val="20"/>
              </w:rPr>
              <w:t>Mobile data collection</w:t>
            </w:r>
          </w:p>
        </w:tc>
        <w:tc>
          <w:tcPr>
            <w:tcW w:type="dxa" w:w="3343"/>
            <w:vAlign w:val="center"/>
            <w:shd w:val="clear" w:color="auto" w:fill="EBECEE"/>
          </w:tcPr>
          <w:p>
            <w:pPr>
              <w:spacing w:after="0"/>
            </w:pPr>
            <w:r/>
            <w:r>
              <w:rPr>
                <w:sz w:val="20"/>
              </w:rPr>
              <w:t>No analytics</w:t>
            </w:r>
          </w:p>
        </w:tc>
      </w:tr>
      <w:tr>
        <w:tc>
          <w:tcPr>
            <w:tcW w:type="dxa" w:w="2340"/>
            <w:vAlign w:val="center"/>
          </w:tcPr>
          <w:p>
            <w:pPr>
              <w:spacing w:after="0"/>
            </w:pPr>
            <w:r/>
            <w:r>
              <w:rPr>
                <w:sz w:val="20"/>
              </w:rPr>
              <w:t>Commercial tools</w:t>
            </w:r>
          </w:p>
        </w:tc>
        <w:tc>
          <w:tcPr>
            <w:tcW w:type="dxa" w:w="3343"/>
            <w:vAlign w:val="center"/>
          </w:tcPr>
          <w:p>
            <w:pPr>
              <w:spacing w:after="0"/>
            </w:pPr>
            <w:r/>
            <w:r>
              <w:rPr>
                <w:sz w:val="20"/>
              </w:rPr>
              <w:t>Full-featured suites</w:t>
            </w:r>
          </w:p>
        </w:tc>
        <w:tc>
          <w:tcPr>
            <w:tcW w:type="dxa" w:w="3343"/>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374151"/>
          </w:tcPr>
          <w:p>
            <w:pPr>
              <w:spacing w:after="0"/>
            </w:pPr>
            <w:r/>
            <w:r>
              <w:rPr>
                <w:b/>
                <w:color w:val="FFFFFF"/>
                <w:sz w:val="20"/>
              </w:rPr>
              <w:t>Existing system</w:t>
            </w:r>
          </w:p>
        </w:tc>
        <w:tc>
          <w:tcPr>
            <w:tcW w:type="dxa" w:w="4513"/>
            <w:vAlign w:val="center"/>
            <w:shd w:val="clear" w:color="auto" w:fill="374151"/>
          </w:tcPr>
          <w:p>
            <w:pPr>
              <w:spacing w:after="0"/>
            </w:pPr>
            <w:r/>
            <w:r>
              <w:rPr>
                <w:b/>
                <w:color w:val="FFFFFF"/>
                <w:sz w:val="20"/>
              </w:rPr>
              <w:t>Proposed system</w:t>
            </w:r>
          </w:p>
        </w:tc>
      </w:tr>
      <w:tr>
        <w:tc>
          <w:tcPr>
            <w:tcW w:type="dxa" w:w="4513"/>
            <w:vAlign w:val="center"/>
          </w:tcPr>
          <w:p>
            <w:pPr>
              <w:spacing w:after="0"/>
            </w:pPr>
            <w:r/>
            <w:r>
              <w:rPr>
                <w:sz w:val="20"/>
              </w:rPr>
              <w:t>Manual records</w:t>
            </w:r>
          </w:p>
        </w:tc>
        <w:tc>
          <w:tcPr>
            <w:tcW w:type="dxa" w:w="4513"/>
            <w:vAlign w:val="center"/>
          </w:tcPr>
          <w:p>
            <w:pPr>
              <w:spacing w:after="0"/>
            </w:pPr>
            <w:r/>
            <w:r>
              <w:rPr>
                <w:sz w:val="20"/>
              </w:rPr>
              <w:t>Automated workflow</w:t>
            </w:r>
          </w:p>
        </w:tc>
      </w:tr>
      <w:tr>
        <w:tc>
          <w:tcPr>
            <w:tcW w:type="dxa" w:w="4513"/>
            <w:vAlign w:val="center"/>
            <w:shd w:val="clear" w:color="auto" w:fill="EBECEE"/>
          </w:tcPr>
          <w:p>
            <w:pPr>
              <w:spacing w:after="0"/>
            </w:pPr>
            <w:r/>
            <w:r>
              <w:rPr>
                <w:sz w:val="20"/>
              </w:rPr>
              <w:t>Slow turnaround</w:t>
            </w:r>
          </w:p>
        </w:tc>
        <w:tc>
          <w:tcPr>
            <w:tcW w:type="dxa" w:w="4513"/>
            <w:vAlign w:val="center"/>
            <w:shd w:val="clear" w:color="auto" w:fill="EBECEE"/>
          </w:tcPr>
          <w:p>
            <w:pPr>
              <w:spacing w:after="0"/>
            </w:pPr>
            <w:r/>
            <w:r>
              <w:rPr>
                <w:sz w:val="20"/>
              </w:rPr>
              <w:t>Real-time dashboard</w:t>
            </w:r>
          </w:p>
        </w:tc>
      </w:tr>
      <w:tr>
        <w:tc>
          <w:tcPr>
            <w:tcW w:type="dxa" w:w="4513"/>
            <w:vAlign w:val="center"/>
          </w:tcPr>
          <w:p>
            <w:pPr>
              <w:spacing w:after="0"/>
            </w:pPr>
            <w:r/>
            <w:r>
              <w:rPr>
                <w:sz w:val="20"/>
              </w:rPr>
              <w:t>No reports</w:t>
            </w:r>
          </w:p>
        </w:tc>
        <w:tc>
          <w:tcPr>
            <w:tcW w:type="dxa" w:w="4513"/>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Gap addressed</w:t>
            </w:r>
          </w:p>
          <w:p>
            <w:pPr>
              <w:spacing w:after="0"/>
            </w:pPr>
            <w:r>
              <w:t>No low-cost option combines automated workflow with real-time dashboard. Earthquake-Resistant Low-Cost Housing is designed to close that gap.</w:t>
            </w:r>
          </w:p>
        </w:tc>
      </w:tr>
    </w:tbl>
    <w:p>
      <w:pPr>
        <w:spacing w:after="40"/>
      </w:pPr>
    </w:p>
    <w:p>
      <w:pPr>
        <w:pStyle w:val="Heading1"/>
      </w:pPr>
      <w:r>
        <w:t>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earthquake-resistant low-cost housing simple to maintain and extend.</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685" w:hRule="exact"/>
        </w:trPr>
        <w:tc>
          <w:tcPr>
            <w:tcW w:type="dxa" w:w="9026"/>
            <w:shd w:val="clear" w:color="auto" w:fill="EBECEE"/>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374151"/>
          </w:tcPr>
          <w:p>
            <w:pPr>
              <w:spacing w:after="0"/>
            </w:pPr>
            <w:r/>
            <w:r>
              <w:rPr>
                <w:b/>
                <w:color w:val="FFFFFF"/>
                <w:sz w:val="20"/>
              </w:rPr>
              <w:t>Stage</w:t>
            </w:r>
          </w:p>
        </w:tc>
        <w:tc>
          <w:tcPr>
            <w:tcW w:type="dxa" w:w="7091"/>
            <w:vAlign w:val="center"/>
            <w:shd w:val="clear" w:color="auto" w:fill="374151"/>
          </w:tcPr>
          <w:p>
            <w:pPr>
              <w:spacing w:after="0"/>
            </w:pPr>
            <w:r/>
            <w:r>
              <w:rPr>
                <w:b/>
                <w:color w:val="FFFFFF"/>
                <w:sz w:val="20"/>
              </w:rPr>
              <w:t>What happens</w:t>
            </w:r>
          </w:p>
        </w:tc>
      </w:tr>
      <w:tr>
        <w:tc>
          <w:tcPr>
            <w:tcW w:type="dxa" w:w="1934"/>
            <w:vAlign w:val="center"/>
          </w:tcPr>
          <w:p>
            <w:pPr>
              <w:spacing w:after="0"/>
            </w:pPr>
            <w:r/>
            <w:r>
              <w:rPr>
                <w:sz w:val="20"/>
              </w:rPr>
              <w:t>Input</w:t>
            </w:r>
          </w:p>
        </w:tc>
        <w:tc>
          <w:tcPr>
            <w:tcW w:type="dxa" w:w="7091"/>
            <w:vAlign w:val="center"/>
          </w:tcPr>
          <w:p>
            <w:pPr>
              <w:spacing w:after="0"/>
            </w:pPr>
            <w:r/>
            <w:r>
              <w:rPr>
                <w:sz w:val="20"/>
              </w:rPr>
              <w:t>Data captured from users or sensors</w:t>
            </w:r>
          </w:p>
        </w:tc>
      </w:tr>
      <w:tr>
        <w:tc>
          <w:tcPr>
            <w:tcW w:type="dxa" w:w="1934"/>
            <w:vAlign w:val="center"/>
            <w:shd w:val="clear" w:color="auto" w:fill="EBECEE"/>
          </w:tcPr>
          <w:p>
            <w:pPr>
              <w:spacing w:after="0"/>
            </w:pPr>
            <w:r/>
            <w:r>
              <w:rPr>
                <w:sz w:val="20"/>
              </w:rPr>
              <w:t>Process</w:t>
            </w:r>
          </w:p>
        </w:tc>
        <w:tc>
          <w:tcPr>
            <w:tcW w:type="dxa" w:w="7091"/>
            <w:vAlign w:val="center"/>
            <w:shd w:val="clear" w:color="auto" w:fill="EBECEE"/>
          </w:tcPr>
          <w:p>
            <w:pPr>
              <w:spacing w:after="0"/>
            </w:pPr>
            <w:r/>
            <w:r>
              <w:rPr>
                <w:sz w:val="20"/>
              </w:rPr>
              <w:t>Core logic validates and analyses</w:t>
            </w:r>
          </w:p>
        </w:tc>
      </w:tr>
      <w:tr>
        <w:tc>
          <w:tcPr>
            <w:tcW w:type="dxa" w:w="1934"/>
            <w:vAlign w:val="center"/>
          </w:tcPr>
          <w:p>
            <w:pPr>
              <w:spacing w:after="0"/>
            </w:pPr>
            <w:r/>
            <w:r>
              <w:rPr>
                <w:sz w:val="20"/>
              </w:rPr>
              <w:t>Store</w:t>
            </w:r>
          </w:p>
        </w:tc>
        <w:tc>
          <w:tcPr>
            <w:tcW w:type="dxa" w:w="7091"/>
            <w:vAlign w:val="center"/>
          </w:tcPr>
          <w:p>
            <w:pPr>
              <w:spacing w:after="0"/>
            </w:pPr>
            <w:r/>
            <w:r>
              <w:rPr>
                <w:sz w:val="20"/>
              </w:rPr>
              <w:t>Secure database and backups</w:t>
            </w:r>
          </w:p>
        </w:tc>
      </w:tr>
      <w:tr>
        <w:tc>
          <w:tcPr>
            <w:tcW w:type="dxa" w:w="1934"/>
            <w:vAlign w:val="center"/>
            <w:shd w:val="clear" w:color="auto" w:fill="EBECEE"/>
          </w:tcPr>
          <w:p>
            <w:pPr>
              <w:spacing w:after="0"/>
            </w:pPr>
            <w:r/>
            <w:r>
              <w:rPr>
                <w:sz w:val="20"/>
              </w:rPr>
              <w:t>Output</w:t>
            </w:r>
          </w:p>
        </w:tc>
        <w:tc>
          <w:tcPr>
            <w:tcW w:type="dxa" w:w="7091"/>
            <w:vAlign w:val="center"/>
            <w:shd w:val="clear" w:color="auto" w:fill="EBECEE"/>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374151"/>
          </w:tcPr>
          <w:p>
            <w:pPr>
              <w:spacing w:after="0"/>
            </w:pPr>
            <w:r/>
            <w:r>
              <w:rPr>
                <w:b/>
                <w:color w:val="FFFFFF"/>
                <w:sz w:val="20"/>
              </w:rPr>
              <w:t>Component</w:t>
            </w:r>
          </w:p>
        </w:tc>
        <w:tc>
          <w:tcPr>
            <w:tcW w:type="dxa" w:w="6769"/>
            <w:vAlign w:val="center"/>
            <w:shd w:val="clear" w:color="auto" w:fill="374151"/>
          </w:tcPr>
          <w:p>
            <w:pPr>
              <w:spacing w:after="0"/>
            </w:pPr>
            <w:r/>
            <w:r>
              <w:rPr>
                <w:b/>
                <w:color w:val="FFFFFF"/>
                <w:sz w:val="20"/>
              </w:rPr>
              <w:t>Purpose</w:t>
            </w:r>
          </w:p>
        </w:tc>
      </w:tr>
      <w:tr>
        <w:tc>
          <w:tcPr>
            <w:tcW w:type="dxa" w:w="2256"/>
            <w:vAlign w:val="center"/>
          </w:tcPr>
          <w:p>
            <w:pPr>
              <w:spacing w:after="0"/>
            </w:pPr>
            <w:r/>
            <w:r>
              <w:rPr>
                <w:sz w:val="20"/>
              </w:rPr>
              <w:t>STAAD.Pro</w:t>
            </w:r>
          </w:p>
        </w:tc>
        <w:tc>
          <w:tcPr>
            <w:tcW w:type="dxa" w:w="6769"/>
            <w:vAlign w:val="center"/>
          </w:tcPr>
          <w:p>
            <w:pPr>
              <w:spacing w:after="0"/>
            </w:pPr>
            <w:r/>
            <w:r>
              <w:rPr>
                <w:sz w:val="20"/>
              </w:rPr>
              <w:t>Structural analysis</w:t>
            </w:r>
          </w:p>
        </w:tc>
      </w:tr>
      <w:tr>
        <w:tc>
          <w:tcPr>
            <w:tcW w:type="dxa" w:w="2256"/>
            <w:vAlign w:val="center"/>
            <w:shd w:val="clear" w:color="auto" w:fill="EBECEE"/>
          </w:tcPr>
          <w:p>
            <w:pPr>
              <w:spacing w:after="0"/>
            </w:pPr>
            <w:r/>
            <w:r>
              <w:rPr>
                <w:sz w:val="20"/>
              </w:rPr>
              <w:t>AutoCAD</w:t>
            </w:r>
          </w:p>
        </w:tc>
        <w:tc>
          <w:tcPr>
            <w:tcW w:type="dxa" w:w="6769"/>
            <w:vAlign w:val="center"/>
            <w:shd w:val="clear" w:color="auto" w:fill="EBECEE"/>
          </w:tcPr>
          <w:p>
            <w:pPr>
              <w:spacing w:after="0"/>
            </w:pPr>
            <w:r/>
            <w:r>
              <w:rPr>
                <w:sz w:val="20"/>
              </w:rPr>
              <w:t>Drawings</w:t>
            </w:r>
          </w:p>
        </w:tc>
      </w:tr>
      <w:tr>
        <w:tc>
          <w:tcPr>
            <w:tcW w:type="dxa" w:w="2256"/>
            <w:vAlign w:val="center"/>
          </w:tcPr>
          <w:p>
            <w:pPr>
              <w:spacing w:after="0"/>
            </w:pPr>
            <w:r/>
            <w:r>
              <w:rPr>
                <w:sz w:val="20"/>
              </w:rPr>
              <w:t>Shake table</w:t>
            </w:r>
          </w:p>
        </w:tc>
        <w:tc>
          <w:tcPr>
            <w:tcW w:type="dxa" w:w="6769"/>
            <w:vAlign w:val="center"/>
          </w:tcPr>
          <w:p>
            <w:pPr>
              <w:spacing w:after="0"/>
            </w:pPr>
            <w:r/>
            <w:r>
              <w:rPr>
                <w:sz w:val="20"/>
              </w:rPr>
              <w:t>Model testing</w:t>
            </w:r>
          </w:p>
        </w:tc>
      </w:tr>
      <w:tr>
        <w:tc>
          <w:tcPr>
            <w:tcW w:type="dxa" w:w="2256"/>
            <w:vAlign w:val="center"/>
            <w:shd w:val="clear" w:color="auto" w:fill="EBECEE"/>
          </w:tcPr>
          <w:p>
            <w:pPr>
              <w:spacing w:after="0"/>
            </w:pPr>
            <w:r/>
            <w:r>
              <w:rPr>
                <w:sz w:val="20"/>
              </w:rPr>
              <w:t>Local materials</w:t>
            </w:r>
          </w:p>
        </w:tc>
        <w:tc>
          <w:tcPr>
            <w:tcW w:type="dxa" w:w="6769"/>
            <w:vAlign w:val="center"/>
            <w:shd w:val="clear" w:color="auto" w:fill="EBECEE"/>
          </w:tcPr>
          <w:p>
            <w:pPr>
              <w:spacing w:after="0"/>
            </w:pPr>
            <w:r/>
            <w:r>
              <w:rPr>
                <w:sz w:val="20"/>
              </w:rPr>
              <w:t>Brick and bamboo</w:t>
            </w:r>
          </w:p>
        </w:tc>
      </w:tr>
    </w:tbl>
    <w:p>
      <w:pPr>
        <w:spacing w:after="80"/>
      </w:pPr>
    </w:p>
    <w:p>
      <w:pPr>
        <w:pStyle w:val="Caption"/>
        <w:jc w:val="center"/>
      </w:pPr>
      <w:r>
        <w:t>Table 4.1: Technology stack</w:t>
      </w:r>
    </w:p>
    <w:p>
      <w:pPr>
        <w:pStyle w:val="Heading1"/>
      </w:pPr>
      <w:r>
        <w:t>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374151"/>
          </w:tcPr>
          <w:p>
            <w:pPr>
              <w:spacing w:after="0"/>
            </w:pPr>
            <w:r/>
            <w:r>
              <w:rPr>
                <w:b/>
                <w:color w:val="FFFFFF"/>
                <w:sz w:val="20"/>
              </w:rPr>
              <w:t>Phase</w:t>
            </w:r>
          </w:p>
        </w:tc>
        <w:tc>
          <w:tcPr>
            <w:tcW w:type="dxa" w:w="1612"/>
            <w:vAlign w:val="center"/>
            <w:shd w:val="clear" w:color="auto" w:fill="374151"/>
          </w:tcPr>
          <w:p>
            <w:pPr>
              <w:spacing w:after="0"/>
            </w:pPr>
            <w:r/>
            <w:r>
              <w:rPr>
                <w:b/>
                <w:color w:val="FFFFFF"/>
                <w:sz w:val="20"/>
              </w:rPr>
              <w:t>Month</w:t>
            </w:r>
          </w:p>
        </w:tc>
        <w:tc>
          <w:tcPr>
            <w:tcW w:type="dxa" w:w="5157"/>
            <w:vAlign w:val="center"/>
            <w:shd w:val="clear" w:color="auto" w:fill="374151"/>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EBECEE"/>
          </w:tcPr>
          <w:p>
            <w:pPr>
              <w:spacing w:after="0"/>
            </w:pPr>
            <w:r/>
            <w:r>
              <w:rPr>
                <w:sz w:val="20"/>
              </w:rPr>
              <w:t>Design</w:t>
            </w:r>
          </w:p>
        </w:tc>
        <w:tc>
          <w:tcPr>
            <w:tcW w:type="dxa" w:w="1612"/>
            <w:vAlign w:val="center"/>
            <w:shd w:val="clear" w:color="auto" w:fill="EBECEE"/>
          </w:tcPr>
          <w:p>
            <w:pPr>
              <w:spacing w:after="0"/>
            </w:pPr>
            <w:r/>
            <w:r>
              <w:rPr>
                <w:sz w:val="20"/>
              </w:rPr>
              <w:t>August</w:t>
            </w:r>
          </w:p>
        </w:tc>
        <w:tc>
          <w:tcPr>
            <w:tcW w:type="dxa" w:w="5157"/>
            <w:vAlign w:val="center"/>
            <w:shd w:val="clear" w:color="auto" w:fill="EBECEE"/>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EBECEE"/>
          </w:tcPr>
          <w:p>
            <w:pPr>
              <w:spacing w:after="0"/>
            </w:pPr>
            <w:r/>
            <w:r>
              <w:rPr>
                <w:sz w:val="20"/>
              </w:rPr>
              <w:t>Testing</w:t>
            </w:r>
          </w:p>
        </w:tc>
        <w:tc>
          <w:tcPr>
            <w:tcW w:type="dxa" w:w="1612"/>
            <w:vAlign w:val="center"/>
            <w:shd w:val="clear" w:color="auto" w:fill="EBECEE"/>
          </w:tcPr>
          <w:p>
            <w:pPr>
              <w:spacing w:after="0"/>
            </w:pPr>
            <w:r/>
            <w:r>
              <w:rPr>
                <w:sz w:val="20"/>
              </w:rPr>
              <w:t>November</w:t>
            </w:r>
          </w:p>
        </w:tc>
        <w:tc>
          <w:tcPr>
            <w:tcW w:type="dxa" w:w="5157"/>
            <w:vAlign w:val="center"/>
            <w:shd w:val="clear" w:color="auto" w:fill="EBECEE"/>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374151"/>
          </w:tcPr>
          <w:p>
            <w:pPr>
              <w:spacing w:after="0"/>
            </w:pPr>
            <w:r/>
            <w:r>
              <w:rPr>
                <w:b/>
                <w:color w:val="FFFFFF"/>
                <w:sz w:val="20"/>
              </w:rPr>
              <w:t>ID</w:t>
            </w:r>
          </w:p>
        </w:tc>
        <w:tc>
          <w:tcPr>
            <w:tcW w:type="dxa" w:w="1907"/>
            <w:vAlign w:val="center"/>
            <w:shd w:val="clear" w:color="auto" w:fill="374151"/>
          </w:tcPr>
          <w:p>
            <w:pPr>
              <w:spacing w:after="0"/>
            </w:pPr>
            <w:r/>
            <w:r>
              <w:rPr>
                <w:b/>
                <w:color w:val="FFFFFF"/>
                <w:sz w:val="20"/>
              </w:rPr>
              <w:t>Module</w:t>
            </w:r>
          </w:p>
        </w:tc>
        <w:tc>
          <w:tcPr>
            <w:tcW w:type="dxa" w:w="2288"/>
            <w:vAlign w:val="center"/>
            <w:shd w:val="clear" w:color="auto" w:fill="374151"/>
          </w:tcPr>
          <w:p>
            <w:pPr>
              <w:spacing w:after="0"/>
            </w:pPr>
            <w:r/>
            <w:r>
              <w:rPr>
                <w:b/>
                <w:color w:val="FFFFFF"/>
                <w:sz w:val="20"/>
              </w:rPr>
              <w:t>Test</w:t>
            </w:r>
          </w:p>
        </w:tc>
        <w:tc>
          <w:tcPr>
            <w:tcW w:type="dxa" w:w="2797"/>
            <w:vAlign w:val="center"/>
            <w:shd w:val="clear" w:color="auto" w:fill="374151"/>
          </w:tcPr>
          <w:p>
            <w:pPr>
              <w:spacing w:after="0"/>
            </w:pPr>
            <w:r/>
            <w:r>
              <w:rPr>
                <w:b/>
                <w:color w:val="FFFFFF"/>
                <w:sz w:val="20"/>
              </w:rPr>
              <w:t>Expected result</w:t>
            </w:r>
          </w:p>
        </w:tc>
        <w:tc>
          <w:tcPr>
            <w:tcW w:type="dxa" w:w="1017"/>
            <w:vAlign w:val="center"/>
            <w:shd w:val="clear" w:color="auto" w:fill="374151"/>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Input</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BECEE"/>
          </w:tcPr>
          <w:p>
            <w:pPr>
              <w:spacing w:after="0"/>
            </w:pPr>
            <w:r/>
            <w:r>
              <w:rPr>
                <w:sz w:val="20"/>
              </w:rPr>
              <w:t>TC-02</w:t>
            </w:r>
          </w:p>
        </w:tc>
        <w:tc>
          <w:tcPr>
            <w:tcW w:type="dxa" w:w="1907"/>
            <w:vAlign w:val="center"/>
            <w:shd w:val="clear" w:color="auto" w:fill="EBECEE"/>
          </w:tcPr>
          <w:p>
            <w:pPr>
              <w:spacing w:after="0"/>
            </w:pPr>
            <w:r/>
            <w:r>
              <w:rPr>
                <w:sz w:val="20"/>
              </w:rPr>
              <w:t>Process</w:t>
            </w:r>
          </w:p>
        </w:tc>
        <w:tc>
          <w:tcPr>
            <w:tcW w:type="dxa" w:w="2288"/>
            <w:vAlign w:val="center"/>
            <w:shd w:val="clear" w:color="auto" w:fill="EBECEE"/>
          </w:tcPr>
          <w:p>
            <w:pPr>
              <w:spacing w:after="0"/>
            </w:pPr>
            <w:r/>
            <w:r>
              <w:rPr>
                <w:sz w:val="20"/>
              </w:rPr>
              <w:t>Valid input</w:t>
            </w:r>
          </w:p>
        </w:tc>
        <w:tc>
          <w:tcPr>
            <w:tcW w:type="dxa" w:w="2797"/>
            <w:vAlign w:val="center"/>
            <w:shd w:val="clear" w:color="auto" w:fill="EBECEE"/>
          </w:tcPr>
          <w:p>
            <w:pPr>
              <w:spacing w:after="0"/>
            </w:pPr>
            <w:r/>
            <w:r>
              <w:rPr>
                <w:sz w:val="20"/>
              </w:rPr>
              <w:t>Processed correctly</w:t>
            </w:r>
          </w:p>
        </w:tc>
        <w:tc>
          <w:tcPr>
            <w:tcW w:type="dxa" w:w="1017"/>
            <w:vAlign w:val="center"/>
            <w:shd w:val="clear" w:color="auto" w:fill="EBECEE"/>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Store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EBECEE"/>
          </w:tcPr>
          <w:p>
            <w:pPr>
              <w:spacing w:after="0"/>
            </w:pPr>
            <w:r/>
            <w:r>
              <w:rPr>
                <w:sz w:val="20"/>
              </w:rPr>
              <w:t>TC-04</w:t>
            </w:r>
          </w:p>
        </w:tc>
        <w:tc>
          <w:tcPr>
            <w:tcW w:type="dxa" w:w="1907"/>
            <w:vAlign w:val="center"/>
            <w:shd w:val="clear" w:color="auto" w:fill="EBECEE"/>
          </w:tcPr>
          <w:p>
            <w:pPr>
              <w:spacing w:after="0"/>
            </w:pPr>
            <w:r/>
            <w:r>
              <w:rPr>
                <w:sz w:val="20"/>
              </w:rPr>
              <w:t>Output</w:t>
            </w:r>
          </w:p>
        </w:tc>
        <w:tc>
          <w:tcPr>
            <w:tcW w:type="dxa" w:w="2288"/>
            <w:vAlign w:val="center"/>
            <w:shd w:val="clear" w:color="auto" w:fill="EBECEE"/>
          </w:tcPr>
          <w:p>
            <w:pPr>
              <w:spacing w:after="0"/>
            </w:pPr>
            <w:r/>
            <w:r>
              <w:rPr>
                <w:sz w:val="20"/>
              </w:rPr>
              <w:t>Valid input</w:t>
            </w:r>
          </w:p>
        </w:tc>
        <w:tc>
          <w:tcPr>
            <w:tcW w:type="dxa" w:w="2797"/>
            <w:vAlign w:val="center"/>
            <w:shd w:val="clear" w:color="auto" w:fill="EBECEE"/>
          </w:tcPr>
          <w:p>
            <w:pPr>
              <w:spacing w:after="0"/>
            </w:pPr>
            <w:r/>
            <w:r>
              <w:rPr>
                <w:sz w:val="20"/>
              </w:rPr>
              <w:t>Processed correctly</w:t>
            </w:r>
          </w:p>
        </w:tc>
        <w:tc>
          <w:tcPr>
            <w:tcW w:type="dxa" w:w="1017"/>
            <w:vAlign w:val="center"/>
            <w:shd w:val="clear" w:color="auto" w:fill="EBECEE"/>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374151"/>
          </w:tcPr>
          <w:p>
            <w:pPr>
              <w:spacing w:after="0"/>
            </w:pPr>
            <w:r/>
            <w:r>
              <w:rPr>
                <w:b/>
                <w:color w:val="FFFFFF"/>
                <w:sz w:val="20"/>
              </w:rPr>
              <w:t>Parameter</w:t>
            </w:r>
          </w:p>
        </w:tc>
        <w:tc>
          <w:tcPr>
            <w:tcW w:type="dxa" w:w="3009"/>
            <w:vAlign w:val="center"/>
            <w:shd w:val="clear" w:color="auto" w:fill="374151"/>
          </w:tcPr>
          <w:p>
            <w:pPr>
              <w:spacing w:after="0"/>
            </w:pPr>
            <w:r/>
            <w:r>
              <w:rPr>
                <w:b/>
                <w:color w:val="FFFFFF"/>
                <w:sz w:val="20"/>
              </w:rPr>
              <w:t>Max drift (mm)</w:t>
            </w:r>
          </w:p>
        </w:tc>
        <w:tc>
          <w:tcPr>
            <w:tcW w:type="dxa" w:w="3009"/>
            <w:vAlign w:val="center"/>
            <w:shd w:val="clear" w:color="auto" w:fill="374151"/>
          </w:tcPr>
          <w:p>
            <w:pPr>
              <w:spacing w:after="0"/>
            </w:pPr>
            <w:r/>
            <w:r>
              <w:rPr>
                <w:b/>
                <w:color w:val="FFFFFF"/>
                <w:sz w:val="20"/>
              </w:rPr>
              <w:t>Remark</w:t>
            </w:r>
          </w:p>
        </w:tc>
      </w:tr>
      <w:tr>
        <w:tc>
          <w:tcPr>
            <w:tcW w:type="dxa" w:w="3009"/>
            <w:vAlign w:val="center"/>
          </w:tcPr>
          <w:p>
            <w:pPr>
              <w:spacing w:after="0"/>
            </w:pPr>
            <w:r/>
            <w:r>
              <w:rPr>
                <w:sz w:val="20"/>
              </w:rPr>
              <w:t>Plain</w:t>
            </w:r>
          </w:p>
        </w:tc>
        <w:tc>
          <w:tcPr>
            <w:tcW w:type="dxa" w:w="3009"/>
            <w:vAlign w:val="center"/>
          </w:tcPr>
          <w:p>
            <w:pPr>
              <w:spacing w:after="0"/>
            </w:pPr>
            <w:r/>
            <w:r>
              <w:rPr>
                <w:sz w:val="20"/>
              </w:rPr>
              <w:t>38</w:t>
            </w:r>
          </w:p>
        </w:tc>
        <w:tc>
          <w:tcPr>
            <w:tcW w:type="dxa" w:w="3009"/>
            <w:vAlign w:val="center"/>
          </w:tcPr>
          <w:p>
            <w:pPr>
              <w:spacing w:after="0"/>
            </w:pPr>
            <w:r/>
            <w:r>
              <w:rPr>
                <w:sz w:val="20"/>
              </w:rPr>
              <w:t>Sample value</w:t>
            </w:r>
          </w:p>
        </w:tc>
      </w:tr>
      <w:tr>
        <w:tc>
          <w:tcPr>
            <w:tcW w:type="dxa" w:w="3009"/>
            <w:vAlign w:val="center"/>
            <w:shd w:val="clear" w:color="auto" w:fill="EBECEE"/>
          </w:tcPr>
          <w:p>
            <w:pPr>
              <w:spacing w:after="0"/>
            </w:pPr>
            <w:r/>
            <w:r>
              <w:rPr>
                <w:sz w:val="20"/>
              </w:rPr>
              <w:t>Bands</w:t>
            </w:r>
          </w:p>
        </w:tc>
        <w:tc>
          <w:tcPr>
            <w:tcW w:type="dxa" w:w="3009"/>
            <w:vAlign w:val="center"/>
            <w:shd w:val="clear" w:color="auto" w:fill="EBECEE"/>
          </w:tcPr>
          <w:p>
            <w:pPr>
              <w:spacing w:after="0"/>
            </w:pPr>
            <w:r/>
            <w:r>
              <w:rPr>
                <w:sz w:val="20"/>
              </w:rPr>
              <w:t>26</w:t>
            </w:r>
          </w:p>
        </w:tc>
        <w:tc>
          <w:tcPr>
            <w:tcW w:type="dxa" w:w="3009"/>
            <w:vAlign w:val="center"/>
            <w:shd w:val="clear" w:color="auto" w:fill="EBECEE"/>
          </w:tcPr>
          <w:p>
            <w:pPr>
              <w:spacing w:after="0"/>
            </w:pPr>
            <w:r/>
            <w:r>
              <w:rPr>
                <w:sz w:val="20"/>
              </w:rPr>
              <w:t>Sample value</w:t>
            </w:r>
          </w:p>
        </w:tc>
      </w:tr>
      <w:tr>
        <w:tc>
          <w:tcPr>
            <w:tcW w:type="dxa" w:w="3009"/>
            <w:vAlign w:val="center"/>
          </w:tcPr>
          <w:p>
            <w:pPr>
              <w:spacing w:after="0"/>
            </w:pPr>
            <w:r/>
            <w:r>
              <w:rPr>
                <w:sz w:val="20"/>
              </w:rPr>
              <w:t>Bands+ties</w:t>
            </w:r>
          </w:p>
        </w:tc>
        <w:tc>
          <w:tcPr>
            <w:tcW w:type="dxa" w:w="3009"/>
            <w:vAlign w:val="center"/>
          </w:tcPr>
          <w:p>
            <w:pPr>
              <w:spacing w:after="0"/>
            </w:pPr>
            <w:r/>
            <w:r>
              <w:rPr>
                <w:sz w:val="20"/>
              </w:rPr>
              <w:t>19</w:t>
            </w:r>
          </w:p>
        </w:tc>
        <w:tc>
          <w:tcPr>
            <w:tcW w:type="dxa" w:w="3009"/>
            <w:vAlign w:val="center"/>
          </w:tcPr>
          <w:p>
            <w:pPr>
              <w:spacing w:after="0"/>
            </w:pPr>
            <w:r/>
            <w:r>
              <w:rPr>
                <w:sz w:val="20"/>
              </w:rPr>
              <w:t>Sample value</w:t>
            </w:r>
          </w:p>
        </w:tc>
      </w:tr>
      <w:tr>
        <w:tc>
          <w:tcPr>
            <w:tcW w:type="dxa" w:w="3009"/>
            <w:vAlign w:val="center"/>
            <w:shd w:val="clear" w:color="auto" w:fill="EBECEE"/>
          </w:tcPr>
          <w:p>
            <w:pPr>
              <w:spacing w:after="0"/>
            </w:pPr>
            <w:r/>
            <w:r>
              <w:rPr>
                <w:sz w:val="20"/>
              </w:rPr>
              <w:t>Proposed</w:t>
            </w:r>
          </w:p>
        </w:tc>
        <w:tc>
          <w:tcPr>
            <w:tcW w:type="dxa" w:w="3009"/>
            <w:vAlign w:val="center"/>
            <w:shd w:val="clear" w:color="auto" w:fill="EBECEE"/>
          </w:tcPr>
          <w:p>
            <w:pPr>
              <w:spacing w:after="0"/>
            </w:pPr>
            <w:r/>
            <w:r>
              <w:rPr>
                <w:sz w:val="20"/>
              </w:rPr>
              <w:t>12</w:t>
            </w:r>
          </w:p>
        </w:tc>
        <w:tc>
          <w:tcPr>
            <w:tcW w:type="dxa" w:w="3009"/>
            <w:vAlign w:val="center"/>
            <w:shd w:val="clear" w:color="auto" w:fill="EBECEE"/>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Key result</w:t>
            </w:r>
          </w:p>
          <w:p>
            <w:pPr>
              <w:spacing w:after="0"/>
            </w:pPr>
            <w:r>
              <w:t>68% less drift than a plain wall (sample data from our test setup).</w:t>
            </w:r>
          </w:p>
        </w:tc>
      </w:tr>
    </w:tbl>
    <w:p>
      <w:pPr>
        <w:spacing w:after="40"/>
      </w:pPr>
    </w:p>
    <w:p>
      <w:pPr>
        <w:pStyle w:val="Heading1"/>
      </w:pPr>
      <w:r>
        <w:t>Conclusion and Future Scope</w:t>
      </w:r>
    </w:p>
    <w:p>
      <w:pPr>
        <w:pStyle w:val="Heading2"/>
      </w:pPr>
      <w:r>
        <w:t>6.1  Conclusion</w:t>
      </w:r>
    </w:p>
    <w:p>
      <w:pPr>
        <w:jc w:val="both"/>
      </w:pPr>
      <w:r>
        <w:t>This project set out to design and build earthquake-resistant low-cost housing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Earthquake-Resistant Low-Cost Housing meets its main objectives</w:t>
      </w:r>
    </w:p>
    <w:p>
      <w:pPr>
        <w:pStyle w:val="ListBullet"/>
      </w:pPr>
      <w:r>
        <w:t>Automation saves time and reduces errors for rural families and masons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STAAD.Pro, accessed 2025.</w:t>
      </w:r>
    </w:p>
    <w:p>
      <w:pPr>
        <w:spacing w:after="80"/>
      </w:pPr>
      <w:r>
        <w:t>[5] Official documentation for AutoCAD, accessed 2025.</w:t>
      </w:r>
    </w:p>
    <w:p>
      <w:pPr>
        <w:spacing w:after="80"/>
      </w:pPr>
      <w:r>
        <w:t>[6] Official documentation for Shake table,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val="0"/>
        <w:color w:val="6F7581"/>
        <w:sz w:val="17"/>
      </w:rPr>
      <w:t>Earthquake-Resistant Low-Cost Housing</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D3D5D9"/>
      <w:pBdr>
        <w:left w:val="single" w:sz="36" w:space="8" w:color="374151"/>
      </w:pBdr>
    </w:pPr>
    <w:rPr>
      <w:rFonts w:ascii="Raleway" w:hAnsi="Raleway" w:cs="Raleway" w:eastAsia="Raleway"/>
      <w:b/>
      <w:bCs/>
      <w:i w:val="0"/>
      <w:caps/>
      <w:color w:val="172033"/>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72033"/>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Lato" w:hAnsi="Lato" w:cs="Lato" w:eastAsia="Lato"/>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