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double" w:sz="12" w:space="0" w:color="A16207"/>
          <w:left w:val="double" w:sz="12" w:space="0" w:color="A16207"/>
          <w:bottom w:val="double" w:sz="12" w:space="0" w:color="A16207"/>
          <w:right w:val="double" w:sz="12" w:space="0" w:color="A16207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026"/>
      </w:tblGrid>
      <w:tr>
        <w:trPr>
          <w:trHeight w:val="13705" w:hRule="exact"/>
        </w:trPr>
        <w:tc>
          <w:tcPr>
            <w:tcW w:type="dxa" w:w="9026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A16207"/>
                <w:sz w:val="20"/>
                <w:spacing w:val="60"/>
              </w:rPr>
              <w:t>Project Proposal</w:t>
            </w:r>
          </w:p>
          <w:p>
            <w:pPr>
              <w:pStyle w:val="Title"/>
              <w:jc w:val="center"/>
            </w:pPr>
            <w:r>
              <w:t>ERP Implementation for Sharma Textiles</w:t>
            </w:r>
          </w:p>
          <w:p>
            <w:pPr>
              <w:jc w:val="center"/>
            </w:pPr>
            <w:r>
              <w:rPr>
                <w:b/>
                <w:i w:val="0"/>
                <w:color w:val="A16207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74777A"/>
                <w:sz w:val="26"/>
              </w:rPr>
              <w:t>Proposal for integrating inventory, sales and accounts on a single cloud ERP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PREPARED FOR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Management, Sharma Textiles Pvt. Ltd.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PREPARED BY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Ananya Desai, Engagement Manager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DATE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February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Executive Summary</w:t>
      </w:r>
      <w:r>
        <w:tab/>
        <w:t>2</w:t>
      </w:r>
    </w:p>
    <w:p>
      <w:pPr>
        <w:pStyle w:val="TOC1"/>
      </w:pPr>
      <w:r>
        <w:t>02  Background and Need</w:t>
      </w:r>
      <w:r>
        <w:tab/>
        <w:t>3</w:t>
      </w:r>
    </w:p>
    <w:p>
      <w:pPr>
        <w:pStyle w:val="TOC1"/>
      </w:pPr>
      <w:r>
        <w:t>03  Goals and Objectives</w:t>
      </w:r>
      <w:r>
        <w:tab/>
        <w:t>3</w:t>
      </w:r>
    </w:p>
    <w:p>
      <w:pPr>
        <w:pStyle w:val="TOC1"/>
      </w:pPr>
      <w:r>
        <w:t>04  Approach and Activities</w:t>
      </w:r>
      <w:r>
        <w:tab/>
        <w:t>3</w:t>
      </w:r>
    </w:p>
    <w:p>
      <w:pPr>
        <w:pStyle w:val="TOC2"/>
      </w:pPr>
      <w:r>
        <w:t>Discovery</w:t>
      </w:r>
      <w:r>
        <w:tab/>
        <w:t>3</w:t>
      </w:r>
    </w:p>
    <w:p>
      <w:pPr>
        <w:pStyle w:val="TOC2"/>
      </w:pPr>
      <w:r>
        <w:t>Configuration</w:t>
      </w:r>
      <w:r>
        <w:tab/>
        <w:t>3</w:t>
      </w:r>
    </w:p>
    <w:p>
      <w:pPr>
        <w:pStyle w:val="TOC2"/>
      </w:pPr>
      <w:r>
        <w:t>Data migration</w:t>
      </w:r>
      <w:r>
        <w:tab/>
        <w:t>3</w:t>
      </w:r>
    </w:p>
    <w:p>
      <w:pPr>
        <w:pStyle w:val="TOC2"/>
      </w:pPr>
      <w:r>
        <w:t>Testing and training</w:t>
      </w:r>
      <w:r>
        <w:tab/>
        <w:t>3</w:t>
      </w:r>
    </w:p>
    <w:p>
      <w:pPr>
        <w:pStyle w:val="TOC2"/>
      </w:pPr>
      <w:r>
        <w:t>Go-live and support</w:t>
      </w:r>
      <w:r>
        <w:tab/>
        <w:t>4</w:t>
      </w:r>
    </w:p>
    <w:p>
      <w:pPr>
        <w:pStyle w:val="TOC2"/>
      </w:pPr>
      <w:r>
        <w:t>Deliverables</w:t>
      </w:r>
      <w:r>
        <w:tab/>
        <w:t>4</w:t>
      </w:r>
    </w:p>
    <w:p>
      <w:pPr>
        <w:pStyle w:val="TOC1"/>
      </w:pPr>
      <w:r>
        <w:t>05  Timeline</w:t>
      </w:r>
      <w:r>
        <w:tab/>
        <w:t>4</w:t>
      </w:r>
    </w:p>
    <w:p>
      <w:pPr>
        <w:pStyle w:val="TOC1"/>
      </w:pPr>
      <w:r>
        <w:t>06  Team and Governance</w:t>
      </w:r>
      <w:r>
        <w:tab/>
        <w:t>4</w:t>
      </w:r>
    </w:p>
    <w:p>
      <w:pPr>
        <w:pStyle w:val="TOC1"/>
      </w:pPr>
      <w:r>
        <w:t>07  Budget</w:t>
      </w:r>
      <w:r>
        <w:tab/>
        <w:t>5</w:t>
      </w:r>
    </w:p>
    <w:p>
      <w:pPr>
        <w:pStyle w:val="TOC1"/>
      </w:pPr>
      <w:r>
        <w:t>08  Monitoring and Evaluation</w:t>
      </w:r>
      <w:r>
        <w:tab/>
        <w:t>5</w:t>
      </w:r>
    </w:p>
    <w:p>
      <w:pPr>
        <w:pStyle w:val="TOC1"/>
      </w:pPr>
      <w:r>
        <w:t>09  Risks and Mitigation</w:t>
      </w:r>
      <w:r>
        <w:tab/>
        <w:t>5</w:t>
      </w:r>
    </w:p>
    <w:p>
      <w:pPr>
        <w:pStyle w:val="TOC1"/>
      </w:pPr>
      <w:r>
        <w:t>10  Assumptions</w:t>
      </w:r>
      <w:r>
        <w:tab/>
        <w:t>6</w:t>
      </w:r>
    </w:p>
    <w:p>
      <w:pPr>
        <w:pStyle w:val="TOC1"/>
      </w:pPr>
      <w:r>
        <w:t>11  Conclusion</w:t>
      </w:r>
      <w:r>
        <w:tab/>
        <w:t>6</w:t>
      </w:r>
    </w:p>
    <w:p>
      <w:pPr>
        <w:pStyle w:val="TOC1"/>
      </w:pPr>
      <w:r>
        <w:t>12  Annexure: Contact Details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Executive Summary</w:t>
      </w:r>
    </w:p>
    <w:p>
      <w:pPr>
        <w:jc w:val="both"/>
      </w:pPr>
      <w:r>
        <w:t>Sharma Textiles runs inventory, sales and accounts on separate spreadsheets and a legacy desktop package, which causes stock mismatches and delays in month-end closing. Northfield Consulting proposes a phased implementation of a cloud ERP covering inventory, purchase, sales, GST-ready accounting and dashboards, delivered in 20 weeks with training and three months of support.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EADCC8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A16207"/>
                <w:sz w:val="40"/>
              </w:rPr>
              <w:t>20 weeks</w:t>
            </w:r>
          </w:p>
          <w:p>
            <w:pPr>
              <w:spacing w:after="0"/>
            </w:pPr>
            <w:r>
              <w:rPr>
                <w:sz w:val="18"/>
              </w:rPr>
              <w:t>Implementation</w:t>
            </w:r>
          </w:p>
        </w:tc>
        <w:tc>
          <w:tcPr>
            <w:tcW w:type="dxa" w:w="3009"/>
            <w:shd w:val="clear" w:color="auto" w:fill="EADCC8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A16207"/>
                <w:sz w:val="40"/>
              </w:rPr>
              <w:t>5 modules</w:t>
            </w:r>
          </w:p>
          <w:p>
            <w:pPr>
              <w:spacing w:after="0"/>
            </w:pPr>
            <w:r>
              <w:rPr>
                <w:sz w:val="18"/>
              </w:rPr>
              <w:t>In scope</w:t>
            </w:r>
          </w:p>
        </w:tc>
        <w:tc>
          <w:tcPr>
            <w:tcW w:type="dxa" w:w="3009"/>
            <w:shd w:val="clear" w:color="auto" w:fill="EADCC8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A16207"/>
                <w:sz w:val="40"/>
              </w:rPr>
              <w:t>3 months</w:t>
            </w:r>
          </w:p>
          <w:p>
            <w:pPr>
              <w:spacing w:after="0"/>
            </w:pPr>
            <w:r>
              <w:rPr>
                <w:sz w:val="18"/>
              </w:rPr>
              <w:t>Post-go-live support</w:t>
            </w:r>
          </w:p>
        </w:tc>
      </w:tr>
    </w:tbl>
    <w:p>
      <w:pPr>
        <w:spacing w:after="120"/>
      </w:pPr>
    </w:p>
    <w:p>
      <w:pPr>
        <w:pStyle w:val="Heading1"/>
      </w:pPr>
      <w:r>
        <w:t>02  Background and Need</w:t>
      </w:r>
    </w:p>
    <w:p>
      <w:pPr>
        <w:jc w:val="both"/>
      </w:pPr>
      <w:r>
        <w:t>The business has grown to three warehouses and over 400 active customers. Data is entered several times in different systems, so stock levels and receivables are often out of date.</w:t>
      </w:r>
    </w:p>
    <w:p>
      <w:pPr>
        <w:jc w:val="both"/>
      </w:pPr>
      <w:r>
        <w:t>Management needs a single view of stock, orders and cash to plan production and purchasing confidently.</w:t>
      </w:r>
    </w:p>
    <w:p>
      <w:pPr>
        <w:pStyle w:val="ListBullet"/>
      </w:pPr>
      <w:r>
        <w:t>Stock mismatches between warehouses</w:t>
      </w:r>
    </w:p>
    <w:p>
      <w:pPr>
        <w:pStyle w:val="ListBullet"/>
      </w:pPr>
      <w:r>
        <w:t>Month-end closing takes about 12 days</w:t>
      </w:r>
    </w:p>
    <w:p>
      <w:pPr>
        <w:pStyle w:val="ListBullet"/>
      </w:pPr>
      <w:r>
        <w:t>No real-time view of receivables</w:t>
      </w:r>
    </w:p>
    <w:p>
      <w:pPr>
        <w:pStyle w:val="Heading1"/>
      </w:pPr>
      <w:r>
        <w:t>03  Goals and Objectives</w:t>
      </w:r>
    </w:p>
    <w:p>
      <w:pPr>
        <w:jc w:val="both"/>
      </w:pPr>
      <w:r>
        <w:t>Give Sharma Textiles one reliable system for operations and finance.</w:t>
      </w:r>
    </w:p>
    <w:p>
      <w:pPr>
        <w:pStyle w:val="ListNumber"/>
      </w:pPr>
      <w:r>
        <w:t>Integrate inventory across three warehouses.</w:t>
      </w:r>
    </w:p>
    <w:p>
      <w:pPr>
        <w:pStyle w:val="ListNumber"/>
      </w:pPr>
      <w:r>
        <w:t>Automate sales orders, invoicing and GST reports.</w:t>
      </w:r>
    </w:p>
    <w:p>
      <w:pPr>
        <w:pStyle w:val="ListNumber"/>
      </w:pPr>
      <w:r>
        <w:t>Reduce month-end closing time.</w:t>
      </w:r>
    </w:p>
    <w:p>
      <w:pPr>
        <w:pStyle w:val="ListNumber"/>
      </w:pPr>
      <w:r>
        <w:t>Provide management dashboards.</w:t>
      </w:r>
    </w:p>
    <w:p>
      <w:pPr>
        <w:pStyle w:val="Heading1"/>
      </w:pPr>
      <w:r>
        <w:t>04  Approach and Activities</w:t>
      </w:r>
    </w:p>
    <w:p>
      <w:pPr>
        <w:pStyle w:val="Heading2"/>
      </w:pPr>
      <w:r>
        <w:t>Discovery</w:t>
      </w:r>
    </w:p>
    <w:p>
      <w:pPr>
        <w:jc w:val="both"/>
      </w:pPr>
      <w:r>
        <w:t>Workshops with each department to map current processes and pain points.</w:t>
      </w:r>
    </w:p>
    <w:p>
      <w:pPr>
        <w:pStyle w:val="Heading2"/>
      </w:pPr>
      <w:r>
        <w:t>Configuration</w:t>
      </w:r>
    </w:p>
    <w:p>
      <w:pPr>
        <w:jc w:val="both"/>
      </w:pPr>
      <w:r>
        <w:t>Set up masters, workflows, approval rules and reports.</w:t>
      </w:r>
    </w:p>
    <w:p>
      <w:pPr>
        <w:pStyle w:val="Heading2"/>
      </w:pPr>
      <w:r>
        <w:t>Data migration</w:t>
      </w:r>
    </w:p>
    <w:p>
      <w:pPr>
        <w:jc w:val="both"/>
      </w:pPr>
      <w:r>
        <w:t>Clean and migrate item, customer, supplier and opening balance data.</w:t>
      </w:r>
    </w:p>
    <w:p>
      <w:pPr>
        <w:pStyle w:val="Heading2"/>
      </w:pPr>
      <w:r>
        <w:t>Testing and training</w:t>
      </w:r>
    </w:p>
    <w:p>
      <w:pPr>
        <w:jc w:val="both"/>
      </w:pPr>
      <w:r>
        <w:t>User acceptance testing with real scenarios and role-based training.</w:t>
      </w:r>
    </w:p>
    <w:p>
      <w:pPr>
        <w:pStyle w:val="Heading2"/>
      </w:pPr>
      <w:r>
        <w:t>Go-live and support</w:t>
      </w:r>
    </w:p>
    <w:p>
      <w:pPr>
        <w:jc w:val="both"/>
      </w:pPr>
      <w:r>
        <w:t>Cut-over plan, hyper-care and three months of support.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980"/>
        <w:gridCol w:w="1556"/>
      </w:tblGrid>
      <w:tr>
        <w:trPr>
          <w:tblHeader/>
        </w:trPr>
        <w:tc>
          <w:tcPr>
            <w:tcW w:type="dxa" w:w="2490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Deliverable</w:t>
            </w:r>
          </w:p>
        </w:tc>
        <w:tc>
          <w:tcPr>
            <w:tcW w:type="dxa" w:w="4980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Description</w:t>
            </w:r>
          </w:p>
        </w:tc>
        <w:tc>
          <w:tcPr>
            <w:tcW w:type="dxa" w:w="1556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Due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Process blueprint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Future-state process maps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Week 4</w:t>
            </w:r>
          </w:p>
        </w:tc>
      </w:tr>
      <w:tr>
        <w:tc>
          <w:tcPr>
            <w:tcW w:type="dxa" w:w="2490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Configured ERP</w:t>
            </w:r>
          </w:p>
        </w:tc>
        <w:tc>
          <w:tcPr>
            <w:tcW w:type="dxa" w:w="4980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All modules in test</w:t>
            </w:r>
          </w:p>
        </w:tc>
        <w:tc>
          <w:tcPr>
            <w:tcW w:type="dxa" w:w="1556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Week 12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Migrated data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Verified masters and balances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Week 15</w:t>
            </w:r>
          </w:p>
        </w:tc>
      </w:tr>
      <w:tr>
        <w:tc>
          <w:tcPr>
            <w:tcW w:type="dxa" w:w="2490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Trained users</w:t>
            </w:r>
          </w:p>
        </w:tc>
        <w:tc>
          <w:tcPr>
            <w:tcW w:type="dxa" w:w="4980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Role-based sessions</w:t>
            </w:r>
          </w:p>
        </w:tc>
        <w:tc>
          <w:tcPr>
            <w:tcW w:type="dxa" w:w="1556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Week 18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Go-live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Production system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Week 20</w:t>
            </w:r>
          </w:p>
        </w:tc>
      </w:tr>
    </w:tbl>
    <w:p>
      <w:pPr>
        <w:spacing w:after="80"/>
      </w:pPr>
    </w:p>
    <w:p>
      <w:pPr>
        <w:pStyle w:val="Heading1"/>
      </w:pPr>
      <w:r>
        <w:t>05 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298"/>
        <w:gridCol w:w="945"/>
        <w:gridCol w:w="945"/>
        <w:gridCol w:w="945"/>
        <w:gridCol w:w="945"/>
        <w:gridCol w:w="945"/>
      </w:tblGrid>
      <w:tr>
        <w:trPr>
          <w:tblHeader/>
        </w:trPr>
        <w:tc>
          <w:tcPr>
            <w:tcW w:type="dxa" w:w="4298"/>
            <w:vAlign w:val="center"/>
            <w:shd w:val="clear" w:color="auto" w:fill="A1620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Activity</w:t>
            </w:r>
          </w:p>
        </w:tc>
        <w:tc>
          <w:tcPr>
            <w:tcW w:type="dxa" w:w="946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W1–4</w:t>
            </w:r>
          </w:p>
        </w:tc>
        <w:tc>
          <w:tcPr>
            <w:tcW w:type="dxa" w:w="946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W5–8</w:t>
            </w:r>
          </w:p>
        </w:tc>
        <w:tc>
          <w:tcPr>
            <w:tcW w:type="dxa" w:w="946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W9–12</w:t>
            </w:r>
          </w:p>
        </w:tc>
        <w:tc>
          <w:tcPr>
            <w:tcW w:type="dxa" w:w="946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W13–16</w:t>
            </w:r>
          </w:p>
        </w:tc>
        <w:tc>
          <w:tcPr>
            <w:tcW w:type="dxa" w:w="946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W17–20</w:t>
            </w:r>
          </w:p>
        </w:tc>
      </w:tr>
      <w:tr>
        <w:tc>
          <w:tcPr>
            <w:tcW w:type="dxa" w:w="429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Discovery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429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Configuration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429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Data migration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</w:tr>
      <w:tr>
        <w:tc>
          <w:tcPr>
            <w:tcW w:type="dxa" w:w="429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Testing and training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</w:tr>
      <w:tr>
        <w:tc>
          <w:tcPr>
            <w:tcW w:type="dxa" w:w="429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Go-live</w:t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</w:r>
          </w:p>
        </w:tc>
        <w:tc>
          <w:tcPr>
            <w:tcW w:type="dxa" w:w="9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06 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4513"/>
      </w:tblGrid>
      <w:tr>
        <w:trPr>
          <w:tblHeader/>
        </w:trPr>
        <w:tc>
          <w:tcPr>
            <w:tcW w:type="dxa" w:w="2256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Name</w:t>
            </w:r>
          </w:p>
        </w:tc>
        <w:tc>
          <w:tcPr>
            <w:tcW w:type="dxa" w:w="2256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Role</w:t>
            </w:r>
          </w:p>
        </w:tc>
        <w:tc>
          <w:tcPr>
            <w:tcW w:type="dxa" w:w="4513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Responsibility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Ananya Desai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Engagement manager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Delivery and client communication</w:t>
            </w:r>
          </w:p>
        </w:tc>
      </w:tr>
      <w:tr>
        <w:tc>
          <w:tcPr>
            <w:tcW w:type="dxa" w:w="2256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Rahul Bhat</w:t>
            </w:r>
          </w:p>
        </w:tc>
        <w:tc>
          <w:tcPr>
            <w:tcW w:type="dxa" w:w="2256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Functional consultant</w:t>
            </w:r>
          </w:p>
        </w:tc>
        <w:tc>
          <w:tcPr>
            <w:tcW w:type="dxa" w:w="45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Inventory and sales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Sonal Shah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Finance consultant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Accounts and GST</w:t>
            </w:r>
          </w:p>
        </w:tc>
      </w:tr>
      <w:tr>
        <w:tc>
          <w:tcPr>
            <w:tcW w:type="dxa" w:w="2256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Client process owners</w:t>
            </w:r>
          </w:p>
        </w:tc>
        <w:tc>
          <w:tcPr>
            <w:tcW w:type="dxa" w:w="2256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Key users</w:t>
            </w:r>
          </w:p>
        </w:tc>
        <w:tc>
          <w:tcPr>
            <w:tcW w:type="dxa" w:w="45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Decisions and testing</w:t>
            </w:r>
          </w:p>
        </w:tc>
      </w:tr>
    </w:tbl>
    <w:p>
      <w:pPr>
        <w:spacing w:after="80"/>
      </w:pPr>
    </w:p>
    <w:p>
      <w:pPr>
        <w:jc w:val="both"/>
      </w:pPr>
      <w:r>
        <w:t>A fortnightly steering meeting with the client’s directors will track milestones, risks and decisions.</w:t>
      </w:r>
    </w:p>
    <w:p>
      <w:pPr>
        <w:pStyle w:val="Heading1"/>
      </w:pPr>
      <w:r>
        <w:t>07 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668"/>
        <w:gridCol w:w="1867"/>
      </w:tblGrid>
      <w:tr>
        <w:trPr>
          <w:tblHeader/>
        </w:trPr>
        <w:tc>
          <w:tcPr>
            <w:tcW w:type="dxa" w:w="2490"/>
            <w:vAlign w:val="center"/>
            <w:shd w:val="clear" w:color="auto" w:fill="A1620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Head</w:t>
            </w:r>
          </w:p>
        </w:tc>
        <w:tc>
          <w:tcPr>
            <w:tcW w:type="dxa" w:w="4668"/>
            <w:vAlign w:val="center"/>
            <w:shd w:val="clear" w:color="auto" w:fill="A1620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Details</w:t>
            </w:r>
          </w:p>
        </w:tc>
        <w:tc>
          <w:tcPr>
            <w:tcW w:type="dxa" w:w="1867"/>
            <w:vAlign w:val="center"/>
            <w:shd w:val="clear" w:color="auto" w:fill="A1620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2"/>
              </w:rPr>
              <w:t>Amount (₹)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Consulting fees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Discovery, configuration and testing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950,000</w:t>
            </w:r>
          </w:p>
        </w:tc>
      </w:tr>
      <w:tr>
        <w:tc>
          <w:tcPr>
            <w:tcW w:type="dxa" w:w="2490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Data migration</w:t>
            </w:r>
          </w:p>
        </w:tc>
        <w:tc>
          <w:tcPr>
            <w:tcW w:type="dxa" w:w="4668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Cleaning and loading</w:t>
            </w:r>
          </w:p>
        </w:tc>
        <w:tc>
          <w:tcPr>
            <w:tcW w:type="dxa" w:w="1867"/>
            <w:vAlign w:val="center"/>
            <w:shd w:val="clear" w:color="auto" w:fill="F6EFE6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180,000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Training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On-site sessions and manuals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120,000</w:t>
            </w:r>
          </w:p>
        </w:tc>
      </w:tr>
      <w:tr>
        <w:tc>
          <w:tcPr>
            <w:tcW w:type="dxa" w:w="2490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Support</w:t>
            </w:r>
          </w:p>
        </w:tc>
        <w:tc>
          <w:tcPr>
            <w:tcW w:type="dxa" w:w="4668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Three months post go-live</w:t>
            </w:r>
          </w:p>
        </w:tc>
        <w:tc>
          <w:tcPr>
            <w:tcW w:type="dxa" w:w="1867"/>
            <w:vAlign w:val="center"/>
            <w:shd w:val="clear" w:color="auto" w:fill="F6EFE6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150,000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Total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2"/>
              </w:rPr>
              <w:t>1,400,000</w:t>
            </w:r>
          </w:p>
        </w:tc>
      </w:tr>
    </w:tbl>
    <w:p>
      <w:pPr>
        <w:spacing w:after="80"/>
      </w:pPr>
    </w:p>
    <w:p>
      <w:pPr>
        <w:pStyle w:val="Heading1"/>
      </w:pPr>
      <w:r>
        <w:t>08  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3868"/>
      </w:tblGrid>
      <w:tr>
        <w:trPr>
          <w:tblHeader/>
        </w:trPr>
        <w:tc>
          <w:tcPr>
            <w:tcW w:type="dxa" w:w="3223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Indicator</w:t>
            </w:r>
          </w:p>
        </w:tc>
        <w:tc>
          <w:tcPr>
            <w:tcW w:type="dxa" w:w="1934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Target</w:t>
            </w:r>
          </w:p>
        </w:tc>
        <w:tc>
          <w:tcPr>
            <w:tcW w:type="dxa" w:w="3868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How measured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Stock accuracy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98%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Cycle counts</w:t>
            </w:r>
          </w:p>
        </w:tc>
      </w:tr>
      <w:tr>
        <w:tc>
          <w:tcPr>
            <w:tcW w:type="dxa" w:w="322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Month-end closing</w:t>
            </w:r>
          </w:p>
        </w:tc>
        <w:tc>
          <w:tcPr>
            <w:tcW w:type="dxa" w:w="1934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≤ 5 days</w:t>
            </w:r>
          </w:p>
        </w:tc>
        <w:tc>
          <w:tcPr>
            <w:tcW w:type="dxa" w:w="3868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Finance calendar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Order-to-invoice time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Same day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ERP reports</w:t>
            </w:r>
          </w:p>
        </w:tc>
      </w:tr>
      <w:tr>
        <w:tc>
          <w:tcPr>
            <w:tcW w:type="dxa" w:w="322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User adoption</w:t>
            </w:r>
          </w:p>
        </w:tc>
        <w:tc>
          <w:tcPr>
            <w:tcW w:type="dxa" w:w="1934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100% transactions in ERP</w:t>
            </w:r>
          </w:p>
        </w:tc>
        <w:tc>
          <w:tcPr>
            <w:tcW w:type="dxa" w:w="3868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System audit</w:t>
            </w:r>
          </w:p>
        </w:tc>
      </w:tr>
    </w:tbl>
    <w:p>
      <w:pPr>
        <w:spacing w:after="80"/>
      </w:pPr>
    </w:p>
    <w:p>
      <w:pPr>
        <w:pStyle w:val="Heading1"/>
      </w:pPr>
      <w:r>
        <w:t>09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12"/>
        <w:gridCol w:w="1556"/>
        <w:gridCol w:w="4357"/>
      </w:tblGrid>
      <w:tr>
        <w:trPr>
          <w:tblHeader/>
        </w:trPr>
        <w:tc>
          <w:tcPr>
            <w:tcW w:type="dxa" w:w="3112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Risk</w:t>
            </w:r>
          </w:p>
        </w:tc>
        <w:tc>
          <w:tcPr>
            <w:tcW w:type="dxa" w:w="1556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Likelihood</w:t>
            </w:r>
          </w:p>
        </w:tc>
        <w:tc>
          <w:tcPr>
            <w:tcW w:type="dxa" w:w="4357"/>
            <w:vAlign w:val="center"/>
            <w:shd w:val="clear" w:color="auto" w:fill="A1620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Mitigation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Poor data quality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High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Data cleaning sprint before migration</w:t>
            </w:r>
          </w:p>
        </w:tc>
      </w:tr>
      <w:tr>
        <w:tc>
          <w:tcPr>
            <w:tcW w:type="dxa" w:w="311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Key users unavailable</w:t>
            </w:r>
          </w:p>
        </w:tc>
        <w:tc>
          <w:tcPr>
            <w:tcW w:type="dxa" w:w="1556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Medium</w:t>
            </w:r>
          </w:p>
        </w:tc>
        <w:tc>
          <w:tcPr>
            <w:tcW w:type="dxa" w:w="4357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2"/>
              </w:rPr>
              <w:t>Agreed time commitment per week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Scope creep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Change-request process</w:t>
            </w:r>
          </w:p>
        </w:tc>
      </w:tr>
    </w:tbl>
    <w:p>
      <w:pPr>
        <w:spacing w:after="80"/>
      </w:pPr>
    </w:p>
    <w:p>
      <w:pPr>
        <w:pStyle w:val="Heading1"/>
      </w:pPr>
      <w:r>
        <w:t>10  Assumptions</w:t>
      </w:r>
    </w:p>
    <w:p>
      <w:pPr>
        <w:jc w:val="both"/>
      </w:pPr>
      <w:r>
        <w:t>The client will provide a project coordinator, timely access to data and availability of key users for workshops and testing. Licence costs for the ERP are billed separately by the software provider.</w:t>
      </w:r>
    </w:p>
    <w:p>
      <w:pPr>
        <w:pStyle w:val="Heading1"/>
      </w:pPr>
      <w:r>
        <w:t>11  Conclusion</w:t>
      </w:r>
    </w:p>
    <w:p>
      <w:pPr>
        <w:jc w:val="both"/>
      </w:pPr>
      <w:r>
        <w:t>A well-implemented ERP will give Sharma Textiles accurate stock, faster closing and better decisions. We look forward to partnering on this transformation.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Next step</w:t>
            </w:r>
          </w:p>
          <w:p>
            <w:pPr>
              <w:spacing w:after="0"/>
            </w:pPr>
            <w:r>
              <w:t>Sign the engagement letter so that the discovery workshops can start on the agreed date.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Ananya Desai</w:t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Submitted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p>
      <w:pPr>
        <w:pStyle w:val="Heading1"/>
      </w:pPr>
      <w:r>
        <w:t>12  Annexure: Contact Details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Northfield Consulting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Contact person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Ananya Desai, Engagement Manager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contact@yourdomain.in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Your address line, City, PIN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Northfield Consulting · Project Proposal</w:t>
    </w:r>
    <w:r>
      <w:rPr>
        <w:color w:val="74777A"/>
        <w:sz w:val="17"/>
      </w:rPr>
      <w:tab/>
      <w:t>ERP Proposal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F2328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Times New Roman" w:hAnsi="Times New Roman" w:cs="Times New Roman" w:eastAsia="Times New Roman"/>
      <w:b/>
      <w:bCs/>
      <w:i w:val="0"/>
      <w:caps/>
      <w:color w:val="1F2328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1F232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