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240" w:type="dxa"/>
          <w:left w:w="360" w:type="dxa"/>
          <w:bottom w:w="240" w:type="dxa"/>
          <w:right w:w="360" w:type="dxa"/>
        </w:tblCellMar>
      </w:tblPr>
      <w:tblGrid>
        <w:gridCol w:w="9026"/>
      </w:tblGrid>
      <w:tr>
        <w:tc>
          <w:tcPr>
            <w:tcW w:type="dxa" w:w="9026"/>
            <w:shd w:val="clear" w:color="auto" w:fill="1F2328"/>
          </w:tcPr>
          <w:p>
            <w:pPr>
              <w:spacing w:after="0"/>
            </w:pPr>
            <w:r>
              <w:rPr>
                <w:b/>
                <w:i w:val="0"/>
                <w:caps/>
                <w:color w:val="FFFFFF"/>
                <w:sz w:val="22"/>
                <w:spacing w:val="40"/>
              </w:rPr>
              <w:t>Jigyasa Education Trust</w:t>
            </w:r>
          </w:p>
        </w:tc>
      </w:tr>
    </w:tbl>
    <w:p>
      <w:pPr>
        <w:spacing w:after="2400"/>
      </w:pPr>
    </w:p>
    <w:p>
      <w:r>
        <w:rPr>
          <w:b/>
          <w:i w:val="0"/>
          <w:caps/>
          <w:color w:val="1D4ED8"/>
          <w:sz w:val="20"/>
          <w:spacing w:val="40"/>
        </w:rPr>
        <w:t>Grant Proposal</w:t>
      </w:r>
    </w:p>
    <w:p>
      <w:pPr>
        <w:pStyle w:val="Title"/>
      </w:pPr>
      <w:r>
        <w:t>Mobile Science Lab for Government Schools</w:t>
      </w:r>
    </w:p>
    <w:p>
      <w:pPr>
        <w:spacing w:after="2400"/>
      </w:pPr>
      <w:r>
        <w:rPr>
          <w:b w:val="0"/>
          <w:i w:val="0"/>
          <w:color w:val="74777A"/>
          <w:sz w:val="28"/>
        </w:rPr>
        <w:t>Bringing hands-on science experiments to 40 schools through a lab-on-wheels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ECFD0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008"/>
        <w:gridCol w:w="3008"/>
        <w:gridCol w:w="3008"/>
      </w:tblGrid>
      <w:tr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74777A"/>
                <w:sz w:val="16"/>
              </w:rPr>
              <w:t>PREPARED FOR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74777A"/>
                <w:sz w:val="16"/>
              </w:rPr>
              <w:t>PREPARED BY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74777A"/>
                <w:sz w:val="16"/>
              </w:rPr>
              <w:t>DATE</w:t>
            </w:r>
          </w:p>
        </w:tc>
      </w:tr>
      <w:tr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1F2328"/>
                <w:sz w:val="21"/>
              </w:rPr>
              <w:t>Education Grants Committee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1F2328"/>
                <w:sz w:val="21"/>
              </w:rPr>
              <w:t>Dr. Arvind Kulkarni, Founder Trustee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1F2328"/>
                <w:sz w:val="21"/>
              </w:rPr>
              <w:t>May 2026</w:t>
            </w:r>
          </w:p>
        </w:tc>
      </w:tr>
    </w:tbl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26"/>
      </w:tblGrid>
      <w:tr>
        <w:trPr>
          <w:trHeight w:val="283" w:hRule="exact"/>
        </w:trPr>
        <w:tc>
          <w:tcPr>
            <w:tcW w:type="dxa" w:w="9026"/>
            <w:shd w:val="clear" w:color="auto" w:fill="1D4ED8"/>
          </w:tcPr>
          <w:p/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1. Executive Summary</w:t>
      </w:r>
    </w:p>
    <w:p>
      <w:pPr>
        <w:jc w:val="both"/>
      </w:pPr>
      <w:r>
        <w:t>Most government schools in the district have no functioning science laboratory, so students learn experiments only from textbooks. Jigyasa Education Trust proposes a mobile science lab — a van equipped with apparatus and trained facilitators — that visits 40 schools on a fixed timetable, giving students in Classes 6 to 10 regular hands-on practice.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008"/>
        <w:gridCol w:w="3008"/>
        <w:gridCol w:w="3008"/>
      </w:tblGrid>
      <w:tr>
        <w:tc>
          <w:tcPr>
            <w:tcW w:type="dxa" w:w="3009"/>
            <w:shd w:val="clear" w:color="auto" w:fill="CDD8F6"/>
          </w:tcPr>
          <w:p>
            <w:pPr>
              <w:spacing w:after="40"/>
            </w:pPr>
            <w:r>
              <w:rPr>
                <w:rFonts w:ascii="Times New Roman" w:hAnsi="Times New Roman" w:cs="Times New Roman" w:eastAsia="Times New Roman"/>
                <w:b/>
                <w:color w:val="1D4ED8"/>
                <w:sz w:val="40"/>
              </w:rPr>
              <w:t>40</w:t>
            </w:r>
          </w:p>
          <w:p>
            <w:pPr>
              <w:spacing w:after="0"/>
            </w:pPr>
            <w:r>
              <w:rPr>
                <w:sz w:val="18"/>
              </w:rPr>
              <w:t>Schools</w:t>
            </w:r>
          </w:p>
        </w:tc>
        <w:tc>
          <w:tcPr>
            <w:tcW w:type="dxa" w:w="3009"/>
            <w:shd w:val="clear" w:color="auto" w:fill="CDD8F6"/>
          </w:tcPr>
          <w:p>
            <w:pPr>
              <w:spacing w:after="40"/>
            </w:pPr>
            <w:r>
              <w:rPr>
                <w:rFonts w:ascii="Times New Roman" w:hAnsi="Times New Roman" w:cs="Times New Roman" w:eastAsia="Times New Roman"/>
                <w:b/>
                <w:color w:val="1D4ED8"/>
                <w:sz w:val="40"/>
              </w:rPr>
              <w:t>8,000</w:t>
            </w:r>
          </w:p>
          <w:p>
            <w:pPr>
              <w:spacing w:after="0"/>
            </w:pPr>
            <w:r>
              <w:rPr>
                <w:sz w:val="18"/>
              </w:rPr>
              <w:t>Students reached</w:t>
            </w:r>
          </w:p>
        </w:tc>
        <w:tc>
          <w:tcPr>
            <w:tcW w:type="dxa" w:w="3009"/>
            <w:shd w:val="clear" w:color="auto" w:fill="CDD8F6"/>
          </w:tcPr>
          <w:p>
            <w:pPr>
              <w:spacing w:after="40"/>
            </w:pPr>
            <w:r>
              <w:rPr>
                <w:rFonts w:ascii="Times New Roman" w:hAnsi="Times New Roman" w:cs="Times New Roman" w:eastAsia="Times New Roman"/>
                <w:b/>
                <w:color w:val="1D4ED8"/>
                <w:sz w:val="40"/>
              </w:rPr>
              <w:t>2 years</w:t>
            </w:r>
          </w:p>
          <w:p>
            <w:pPr>
              <w:spacing w:after="0"/>
            </w:pPr>
            <w:r>
              <w:rPr>
                <w:sz w:val="18"/>
              </w:rPr>
              <w:t>Project period</w:t>
            </w:r>
          </w:p>
        </w:tc>
      </w:tr>
    </w:tbl>
    <w:p>
      <w:pPr>
        <w:spacing w:after="120"/>
      </w:pPr>
    </w:p>
    <w:p>
      <w:pPr>
        <w:pStyle w:val="Heading1"/>
      </w:pPr>
      <w:r>
        <w:t>2. Background and Need</w:t>
      </w:r>
    </w:p>
    <w:p>
      <w:pPr>
        <w:jc w:val="both"/>
      </w:pPr>
      <w:r>
        <w:t>Science teachers in rural schools often teach without equipment, and students rarely perform experiments themselves. This affects both understanding and interest in science.</w:t>
      </w:r>
    </w:p>
    <w:p>
      <w:pPr>
        <w:jc w:val="both"/>
      </w:pPr>
      <w:r>
        <w:t>A mobile lab can share one well-equipped set of apparatus across many schools at a fraction of the cost of building labs in each.</w:t>
      </w:r>
    </w:p>
    <w:p>
      <w:pPr>
        <w:pStyle w:val="Heading1"/>
      </w:pPr>
      <w:r>
        <w:t>3. Goals and Objectives</w:t>
      </w:r>
    </w:p>
    <w:p>
      <w:pPr>
        <w:jc w:val="both"/>
      </w:pPr>
      <w:r>
        <w:t>Improve understanding of science concepts and curiosity among students in government schools.</w:t>
      </w:r>
    </w:p>
    <w:p>
      <w:pPr>
        <w:pStyle w:val="ListNumber"/>
      </w:pPr>
      <w:r>
        <w:t>Visit each school at least twice a month.</w:t>
      </w:r>
    </w:p>
    <w:p>
      <w:pPr>
        <w:pStyle w:val="ListNumber"/>
      </w:pPr>
      <w:r>
        <w:t>Conduct curriculum-linked experiments for Classes 6–10.</w:t>
      </w:r>
    </w:p>
    <w:p>
      <w:pPr>
        <w:pStyle w:val="ListNumber"/>
      </w:pPr>
      <w:r>
        <w:t>Train science teachers to continue activities between visits.</w:t>
      </w:r>
    </w:p>
    <w:p>
      <w:pPr>
        <w:pStyle w:val="ListNumber"/>
      </w:pPr>
      <w:r>
        <w:t>Organise an annual district science fair.</w:t>
      </w:r>
    </w:p>
    <w:p>
      <w:pPr>
        <w:pStyle w:val="Heading1"/>
      </w:pPr>
      <w:r>
        <w:t>4. Approach and Activities</w:t>
      </w:r>
    </w:p>
    <w:p>
      <w:pPr>
        <w:pStyle w:val="Heading2"/>
      </w:pPr>
      <w:r>
        <w:t>Van and equipment</w:t>
      </w:r>
    </w:p>
    <w:p>
      <w:pPr>
        <w:jc w:val="both"/>
      </w:pPr>
      <w:r>
        <w:t>Purchase and fit out the van with apparatus, storage and safety equipment.</w:t>
      </w:r>
    </w:p>
    <w:p>
      <w:pPr>
        <w:pStyle w:val="Heading2"/>
      </w:pPr>
      <w:r>
        <w:t>Curriculum mapping</w:t>
      </w:r>
    </w:p>
    <w:p>
      <w:pPr>
        <w:jc w:val="both"/>
      </w:pPr>
      <w:r>
        <w:t>Map 60 experiments to the syllabus for Classes 6–10.</w:t>
      </w:r>
    </w:p>
    <w:p>
      <w:pPr>
        <w:pStyle w:val="Heading2"/>
      </w:pPr>
      <w:r>
        <w:t>School visits</w:t>
      </w:r>
    </w:p>
    <w:p>
      <w:pPr>
        <w:jc w:val="both"/>
      </w:pPr>
      <w:r>
        <w:t>Two facilitators run sessions on a fixed timetable.</w:t>
      </w:r>
    </w:p>
    <w:p>
      <w:pPr>
        <w:pStyle w:val="Heading2"/>
      </w:pPr>
      <w:r>
        <w:t>Teacher training</w:t>
      </w:r>
    </w:p>
    <w:p>
      <w:pPr>
        <w:jc w:val="both"/>
      </w:pPr>
      <w:r>
        <w:t>Quarterly workshops for science teachers.</w:t>
      </w:r>
    </w:p>
    <w:p>
      <w:pPr>
        <w:pStyle w:val="Heading2"/>
      </w:pPr>
      <w:r>
        <w:t>Science fair</w:t>
      </w:r>
    </w:p>
    <w:p>
      <w:pPr>
        <w:jc w:val="both"/>
      </w:pPr>
      <w:r>
        <w:t>District-level fair showcasing student projects.</w:t>
      </w:r>
    </w:p>
    <w:p>
      <w:pPr>
        <w:pStyle w:val="Heading2"/>
      </w:pPr>
      <w:r>
        <w:t>Deliverables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90"/>
        <w:gridCol w:w="4980"/>
        <w:gridCol w:w="1556"/>
      </w:tblGrid>
      <w:tr>
        <w:trPr>
          <w:tblHeader/>
        </w:trPr>
        <w:tc>
          <w:tcPr>
            <w:tcW w:type="dxa" w:w="2490"/>
            <w:vAlign w:val="center"/>
            <w:shd w:val="clear" w:color="auto" w:fill="163AA2"/>
          </w:tcPr>
          <w:p>
            <w:pPr>
              <w:spacing w:after="0"/>
            </w:pPr>
            <w:r/>
            <w:r>
              <w:rPr>
                <w:b/>
                <w:color w:val="FFFFFF"/>
                <w:sz w:val="22"/>
              </w:rPr>
              <w:t>Deliverable</w:t>
            </w:r>
          </w:p>
        </w:tc>
        <w:tc>
          <w:tcPr>
            <w:tcW w:type="dxa" w:w="4980"/>
            <w:vAlign w:val="center"/>
            <w:shd w:val="clear" w:color="auto" w:fill="163AA2"/>
          </w:tcPr>
          <w:p>
            <w:pPr>
              <w:spacing w:after="0"/>
            </w:pPr>
            <w:r/>
            <w:r>
              <w:rPr>
                <w:b/>
                <w:color w:val="FFFFFF"/>
                <w:sz w:val="22"/>
              </w:rPr>
              <w:t>Description</w:t>
            </w:r>
          </w:p>
        </w:tc>
        <w:tc>
          <w:tcPr>
            <w:tcW w:type="dxa" w:w="1556"/>
            <w:vAlign w:val="center"/>
            <w:shd w:val="clear" w:color="auto" w:fill="163AA2"/>
          </w:tcPr>
          <w:p>
            <w:pPr>
              <w:spacing w:after="0"/>
            </w:pPr>
            <w:r/>
            <w:r>
              <w:rPr>
                <w:b/>
                <w:color w:val="FFFFFF"/>
                <w:sz w:val="22"/>
              </w:rPr>
              <w:t>Due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Equipped van</w:t>
            </w:r>
          </w:p>
        </w:tc>
        <w:tc>
          <w:tcPr>
            <w:tcW w:type="dxa" w:w="4980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Lab-on-wheels ready</w:t>
            </w:r>
          </w:p>
        </w:tc>
        <w:tc>
          <w:tcPr>
            <w:tcW w:type="dxa" w:w="1556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Month 3</w:t>
            </w:r>
          </w:p>
        </w:tc>
      </w:tr>
      <w:tr>
        <w:tc>
          <w:tcPr>
            <w:tcW w:type="dxa" w:w="2490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2"/>
              </w:rPr>
              <w:t>Activity manual</w:t>
            </w:r>
          </w:p>
        </w:tc>
        <w:tc>
          <w:tcPr>
            <w:tcW w:type="dxa" w:w="4980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2"/>
              </w:rPr>
              <w:t>60 experiments</w:t>
            </w:r>
          </w:p>
        </w:tc>
        <w:tc>
          <w:tcPr>
            <w:tcW w:type="dxa" w:w="1556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2"/>
              </w:rPr>
              <w:t>Month 3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School visits</w:t>
            </w:r>
          </w:p>
        </w:tc>
        <w:tc>
          <w:tcPr>
            <w:tcW w:type="dxa" w:w="4980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About 1,600 sessions</w:t>
            </w:r>
          </w:p>
        </w:tc>
        <w:tc>
          <w:tcPr>
            <w:tcW w:type="dxa" w:w="1556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Month 24</w:t>
            </w:r>
          </w:p>
        </w:tc>
      </w:tr>
      <w:tr>
        <w:tc>
          <w:tcPr>
            <w:tcW w:type="dxa" w:w="2490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2"/>
              </w:rPr>
              <w:t>Teacher workshops</w:t>
            </w:r>
          </w:p>
        </w:tc>
        <w:tc>
          <w:tcPr>
            <w:tcW w:type="dxa" w:w="4980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2"/>
              </w:rPr>
              <w:t>8 workshops</w:t>
            </w:r>
          </w:p>
        </w:tc>
        <w:tc>
          <w:tcPr>
            <w:tcW w:type="dxa" w:w="1556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2"/>
              </w:rPr>
              <w:t>Month 24</w:t>
            </w:r>
          </w:p>
        </w:tc>
      </w:tr>
    </w:tbl>
    <w:p>
      <w:pPr>
        <w:spacing w:after="80"/>
      </w:pPr>
    </w:p>
    <w:p>
      <w:pPr>
        <w:pStyle w:val="Heading1"/>
      </w:pPr>
      <w:r>
        <w:t>5. Timeline</w:t>
      </w:r>
    </w:p>
    <w:p>
      <w:r>
        <w:t>The work plan below shows the main activities and their indicative timing.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70"/>
        <w:gridCol w:w="719"/>
        <w:gridCol w:w="719"/>
        <w:gridCol w:w="719"/>
        <w:gridCol w:w="719"/>
        <w:gridCol w:w="719"/>
        <w:gridCol w:w="719"/>
        <w:gridCol w:w="719"/>
        <w:gridCol w:w="719"/>
      </w:tblGrid>
      <w:tr>
        <w:trPr>
          <w:tblHeader/>
        </w:trPr>
        <w:tc>
          <w:tcPr>
            <w:tcW w:type="dxa" w:w="3270"/>
            <w:vAlign w:val="center"/>
            <w:shd w:val="clear" w:color="auto" w:fill="163AA2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2"/>
              </w:rPr>
              <w:t>Activity</w:t>
            </w:r>
          </w:p>
        </w:tc>
        <w:tc>
          <w:tcPr>
            <w:tcW w:type="dxa" w:w="719"/>
            <w:vAlign w:val="center"/>
            <w:shd w:val="clear" w:color="auto" w:fill="163AA2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2"/>
              </w:rPr>
              <w:t>Q1</w:t>
            </w:r>
          </w:p>
        </w:tc>
        <w:tc>
          <w:tcPr>
            <w:tcW w:type="dxa" w:w="719"/>
            <w:vAlign w:val="center"/>
            <w:shd w:val="clear" w:color="auto" w:fill="163AA2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2"/>
              </w:rPr>
              <w:t>Q2</w:t>
            </w:r>
          </w:p>
        </w:tc>
        <w:tc>
          <w:tcPr>
            <w:tcW w:type="dxa" w:w="719"/>
            <w:vAlign w:val="center"/>
            <w:shd w:val="clear" w:color="auto" w:fill="163AA2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2"/>
              </w:rPr>
              <w:t>Q3</w:t>
            </w:r>
          </w:p>
        </w:tc>
        <w:tc>
          <w:tcPr>
            <w:tcW w:type="dxa" w:w="719"/>
            <w:vAlign w:val="center"/>
            <w:shd w:val="clear" w:color="auto" w:fill="163AA2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2"/>
              </w:rPr>
              <w:t>Q4</w:t>
            </w:r>
          </w:p>
        </w:tc>
        <w:tc>
          <w:tcPr>
            <w:tcW w:type="dxa" w:w="719"/>
            <w:vAlign w:val="center"/>
            <w:shd w:val="clear" w:color="auto" w:fill="163AA2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2"/>
              </w:rPr>
              <w:t>Q5</w:t>
            </w:r>
          </w:p>
        </w:tc>
        <w:tc>
          <w:tcPr>
            <w:tcW w:type="dxa" w:w="719"/>
            <w:vAlign w:val="center"/>
            <w:shd w:val="clear" w:color="auto" w:fill="163AA2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2"/>
              </w:rPr>
              <w:t>Q6</w:t>
            </w:r>
          </w:p>
        </w:tc>
        <w:tc>
          <w:tcPr>
            <w:tcW w:type="dxa" w:w="719"/>
            <w:vAlign w:val="center"/>
            <w:shd w:val="clear" w:color="auto" w:fill="163AA2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2"/>
              </w:rPr>
              <w:t>Q7</w:t>
            </w:r>
          </w:p>
        </w:tc>
        <w:tc>
          <w:tcPr>
            <w:tcW w:type="dxa" w:w="719"/>
            <w:vAlign w:val="center"/>
            <w:shd w:val="clear" w:color="auto" w:fill="163AA2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2"/>
              </w:rPr>
              <w:t>Q8</w:t>
            </w:r>
          </w:p>
        </w:tc>
      </w:tr>
      <w:tr>
        <w:tc>
          <w:tcPr>
            <w:tcW w:type="dxa" w:w="327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Van set-up</w:t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■</w:t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</w:tr>
      <w:tr>
        <w:tc>
          <w:tcPr>
            <w:tcW w:type="dxa" w:w="327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Curriculum mapping</w:t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■</w:t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</w:tr>
      <w:tr>
        <w:tc>
          <w:tcPr>
            <w:tcW w:type="dxa" w:w="327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School visits</w:t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■</w:t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■</w:t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■</w:t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■</w:t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■</w:t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■</w:t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■</w:t>
            </w:r>
          </w:p>
        </w:tc>
      </w:tr>
      <w:tr>
        <w:tc>
          <w:tcPr>
            <w:tcW w:type="dxa" w:w="327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Teacher training</w:t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■</w:t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■</w:t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■</w:t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■</w:t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■</w:t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■</w:t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■</w:t>
            </w:r>
          </w:p>
        </w:tc>
      </w:tr>
      <w:tr>
        <w:tc>
          <w:tcPr>
            <w:tcW w:type="dxa" w:w="327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Science fair</w:t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■</w:t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</w:tr>
      <w:tr>
        <w:tc>
          <w:tcPr>
            <w:tcW w:type="dxa" w:w="327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Evaluation</w:t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■</w:t>
            </w:r>
          </w:p>
        </w:tc>
      </w:tr>
    </w:tbl>
    <w:p>
      <w:pPr>
        <w:spacing w:after="80"/>
      </w:pPr>
    </w:p>
    <w:p>
      <w:pPr>
        <w:pStyle w:val="Heading1"/>
      </w:pPr>
      <w:r>
        <w:t>6. Team and Governance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256"/>
        <w:gridCol w:w="2256"/>
        <w:gridCol w:w="4513"/>
      </w:tblGrid>
      <w:tr>
        <w:trPr>
          <w:tblHeader/>
        </w:trPr>
        <w:tc>
          <w:tcPr>
            <w:tcW w:type="dxa" w:w="2256"/>
            <w:vAlign w:val="center"/>
            <w:shd w:val="clear" w:color="auto" w:fill="163AA2"/>
          </w:tcPr>
          <w:p>
            <w:pPr>
              <w:spacing w:after="0"/>
            </w:pPr>
            <w:r/>
            <w:r>
              <w:rPr>
                <w:b/>
                <w:color w:val="FFFFFF"/>
                <w:sz w:val="22"/>
              </w:rPr>
              <w:t>Name</w:t>
            </w:r>
          </w:p>
        </w:tc>
        <w:tc>
          <w:tcPr>
            <w:tcW w:type="dxa" w:w="2256"/>
            <w:vAlign w:val="center"/>
            <w:shd w:val="clear" w:color="auto" w:fill="163AA2"/>
          </w:tcPr>
          <w:p>
            <w:pPr>
              <w:spacing w:after="0"/>
            </w:pPr>
            <w:r/>
            <w:r>
              <w:rPr>
                <w:b/>
                <w:color w:val="FFFFFF"/>
                <w:sz w:val="22"/>
              </w:rPr>
              <w:t>Role</w:t>
            </w:r>
          </w:p>
        </w:tc>
        <w:tc>
          <w:tcPr>
            <w:tcW w:type="dxa" w:w="4513"/>
            <w:vAlign w:val="center"/>
            <w:shd w:val="clear" w:color="auto" w:fill="163AA2"/>
          </w:tcPr>
          <w:p>
            <w:pPr>
              <w:spacing w:after="0"/>
            </w:pPr>
            <w:r/>
            <w:r>
              <w:rPr>
                <w:b/>
                <w:color w:val="FFFFFF"/>
                <w:sz w:val="22"/>
              </w:rPr>
              <w:t>Responsibility</w:t>
            </w:r>
          </w:p>
        </w:tc>
      </w:tr>
      <w:tr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Dr. Arvind Kulkarni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Project head</w:t>
            </w:r>
          </w:p>
        </w:tc>
        <w:tc>
          <w:tcPr>
            <w:tcW w:type="dxa" w:w="4513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Overall responsibility</w:t>
            </w:r>
          </w:p>
        </w:tc>
      </w:tr>
      <w:tr>
        <w:tc>
          <w:tcPr>
            <w:tcW w:type="dxa" w:w="2256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2"/>
              </w:rPr>
              <w:t>Science facilitators (2)</w:t>
            </w:r>
          </w:p>
        </w:tc>
        <w:tc>
          <w:tcPr>
            <w:tcW w:type="dxa" w:w="2256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2"/>
              </w:rPr>
              <w:t>Facilitators</w:t>
            </w:r>
          </w:p>
        </w:tc>
        <w:tc>
          <w:tcPr>
            <w:tcW w:type="dxa" w:w="4513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2"/>
              </w:rPr>
              <w:t>Sessions in schools</w:t>
            </w:r>
          </w:p>
        </w:tc>
      </w:tr>
      <w:tr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Driver-cum-lab assistant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Support</w:t>
            </w:r>
          </w:p>
        </w:tc>
        <w:tc>
          <w:tcPr>
            <w:tcW w:type="dxa" w:w="4513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Van and equipment</w:t>
            </w:r>
          </w:p>
        </w:tc>
      </w:tr>
      <w:tr>
        <w:tc>
          <w:tcPr>
            <w:tcW w:type="dxa" w:w="2256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2"/>
              </w:rPr>
              <w:t>Advisory teacher panel</w:t>
            </w:r>
          </w:p>
        </w:tc>
        <w:tc>
          <w:tcPr>
            <w:tcW w:type="dxa" w:w="2256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2"/>
              </w:rPr>
              <w:t>Advisers</w:t>
            </w:r>
          </w:p>
        </w:tc>
        <w:tc>
          <w:tcPr>
            <w:tcW w:type="dxa" w:w="4513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2"/>
              </w:rPr>
              <w:t>Curriculum and quality</w:t>
            </w:r>
          </w:p>
        </w:tc>
      </w:tr>
    </w:tbl>
    <w:p>
      <w:pPr>
        <w:spacing w:after="80"/>
      </w:pPr>
    </w:p>
    <w:p>
      <w:pPr>
        <w:pStyle w:val="Heading1"/>
      </w:pPr>
      <w:r>
        <w:t>7. Budget</w:t>
      </w:r>
    </w:p>
    <w:p>
      <w:r>
        <w:t>All amounts are estimates in Indian rupees and are provided as sample figures for planning.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90"/>
        <w:gridCol w:w="4668"/>
        <w:gridCol w:w="1867"/>
      </w:tblGrid>
      <w:tr>
        <w:trPr>
          <w:tblHeader/>
        </w:trPr>
        <w:tc>
          <w:tcPr>
            <w:tcW w:type="dxa" w:w="2490"/>
            <w:vAlign w:val="center"/>
            <w:shd w:val="clear" w:color="auto" w:fill="163AA2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2"/>
              </w:rPr>
              <w:t>Head</w:t>
            </w:r>
          </w:p>
        </w:tc>
        <w:tc>
          <w:tcPr>
            <w:tcW w:type="dxa" w:w="4668"/>
            <w:vAlign w:val="center"/>
            <w:shd w:val="clear" w:color="auto" w:fill="163AA2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2"/>
              </w:rPr>
              <w:t>Details</w:t>
            </w:r>
          </w:p>
        </w:tc>
        <w:tc>
          <w:tcPr>
            <w:tcW w:type="dxa" w:w="1867"/>
            <w:vAlign w:val="center"/>
            <w:shd w:val="clear" w:color="auto" w:fill="163AA2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22"/>
              </w:rPr>
              <w:t>Amount (₹)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Van and fit-out</w:t>
            </w:r>
          </w:p>
        </w:tc>
        <w:tc>
          <w:tcPr>
            <w:tcW w:type="dxa" w:w="466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One-time</w:t>
            </w:r>
          </w:p>
        </w:tc>
        <w:tc>
          <w:tcPr>
            <w:tcW w:type="dxa" w:w="1867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2"/>
              </w:rPr>
              <w:t>1,200,000</w:t>
            </w:r>
          </w:p>
        </w:tc>
      </w:tr>
      <w:tr>
        <w:tc>
          <w:tcPr>
            <w:tcW w:type="dxa" w:w="2490"/>
            <w:vAlign w:val="center"/>
            <w:shd w:val="clear" w:color="auto" w:fill="E8EDFB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Apparatus and consumables</w:t>
            </w:r>
          </w:p>
        </w:tc>
        <w:tc>
          <w:tcPr>
            <w:tcW w:type="dxa" w:w="4668"/>
            <w:vAlign w:val="center"/>
            <w:shd w:val="clear" w:color="auto" w:fill="E8EDFB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Two years</w:t>
            </w:r>
          </w:p>
        </w:tc>
        <w:tc>
          <w:tcPr>
            <w:tcW w:type="dxa" w:w="1867"/>
            <w:vAlign w:val="center"/>
            <w:shd w:val="clear" w:color="auto" w:fill="E8EDFB"/>
          </w:tcPr>
          <w:p>
            <w:pPr>
              <w:spacing w:after="0"/>
              <w:jc w:val="right"/>
            </w:pPr>
            <w:r/>
            <w:r>
              <w:rPr>
                <w:sz w:val="22"/>
              </w:rPr>
              <w:t>450,000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Salaries</w:t>
            </w:r>
          </w:p>
        </w:tc>
        <w:tc>
          <w:tcPr>
            <w:tcW w:type="dxa" w:w="466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Facilitators and assistant, two years</w:t>
            </w:r>
          </w:p>
        </w:tc>
        <w:tc>
          <w:tcPr>
            <w:tcW w:type="dxa" w:w="1867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2"/>
              </w:rPr>
              <w:t>1,680,000</w:t>
            </w:r>
          </w:p>
        </w:tc>
      </w:tr>
      <w:tr>
        <w:tc>
          <w:tcPr>
            <w:tcW w:type="dxa" w:w="2490"/>
            <w:vAlign w:val="center"/>
            <w:shd w:val="clear" w:color="auto" w:fill="E8EDFB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Fuel and maintenance</w:t>
            </w:r>
          </w:p>
        </w:tc>
        <w:tc>
          <w:tcPr>
            <w:tcW w:type="dxa" w:w="4668"/>
            <w:vAlign w:val="center"/>
            <w:shd w:val="clear" w:color="auto" w:fill="E8EDFB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Two years</w:t>
            </w:r>
          </w:p>
        </w:tc>
        <w:tc>
          <w:tcPr>
            <w:tcW w:type="dxa" w:w="1867"/>
            <w:vAlign w:val="center"/>
            <w:shd w:val="clear" w:color="auto" w:fill="E8EDFB"/>
          </w:tcPr>
          <w:p>
            <w:pPr>
              <w:spacing w:after="0"/>
              <w:jc w:val="right"/>
            </w:pPr>
            <w:r/>
            <w:r>
              <w:rPr>
                <w:sz w:val="22"/>
              </w:rPr>
              <w:t>360,000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Teacher workshops and fair</w:t>
            </w:r>
          </w:p>
        </w:tc>
        <w:tc>
          <w:tcPr>
            <w:tcW w:type="dxa" w:w="466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Events</w:t>
            </w:r>
          </w:p>
        </w:tc>
        <w:tc>
          <w:tcPr>
            <w:tcW w:type="dxa" w:w="1867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2"/>
              </w:rPr>
              <w:t>240,000</w:t>
            </w:r>
          </w:p>
        </w:tc>
      </w:tr>
      <w:tr>
        <w:tc>
          <w:tcPr>
            <w:tcW w:type="dxa" w:w="2490"/>
            <w:vAlign w:val="center"/>
            <w:shd w:val="clear" w:color="auto" w:fill="E8EDFB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Monitoring and admin</w:t>
            </w:r>
          </w:p>
        </w:tc>
        <w:tc>
          <w:tcPr>
            <w:tcW w:type="dxa" w:w="4668"/>
            <w:vAlign w:val="center"/>
            <w:shd w:val="clear" w:color="auto" w:fill="E8EDFB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Overheads</w:t>
            </w:r>
          </w:p>
        </w:tc>
        <w:tc>
          <w:tcPr>
            <w:tcW w:type="dxa" w:w="1867"/>
            <w:vAlign w:val="center"/>
            <w:shd w:val="clear" w:color="auto" w:fill="E8EDFB"/>
          </w:tcPr>
          <w:p>
            <w:pPr>
              <w:spacing w:after="0"/>
              <w:jc w:val="right"/>
            </w:pPr>
            <w:r/>
            <w:r>
              <w:rPr>
                <w:sz w:val="22"/>
              </w:rPr>
              <w:t>200,000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Total</w:t>
            </w:r>
          </w:p>
        </w:tc>
        <w:tc>
          <w:tcPr>
            <w:tcW w:type="dxa" w:w="466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  <w:tc>
          <w:tcPr>
            <w:tcW w:type="dxa" w:w="1867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2"/>
              </w:rPr>
              <w:t>4,130,000</w:t>
            </w:r>
          </w:p>
        </w:tc>
      </w:tr>
    </w:tbl>
    <w:p>
      <w:pPr>
        <w:spacing w:after="80"/>
      </w:pPr>
    </w:p>
    <w:p>
      <w:pPr>
        <w:pStyle w:val="Heading1"/>
      </w:pPr>
      <w:r>
        <w:t>8. Monitoring and Evaluation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23"/>
        <w:gridCol w:w="1934"/>
        <w:gridCol w:w="3868"/>
      </w:tblGrid>
      <w:tr>
        <w:trPr>
          <w:tblHeader/>
        </w:trPr>
        <w:tc>
          <w:tcPr>
            <w:tcW w:type="dxa" w:w="3223"/>
            <w:vAlign w:val="center"/>
            <w:shd w:val="clear" w:color="auto" w:fill="163AA2"/>
          </w:tcPr>
          <w:p>
            <w:pPr>
              <w:spacing w:after="0"/>
            </w:pPr>
            <w:r/>
            <w:r>
              <w:rPr>
                <w:b/>
                <w:color w:val="FFFFFF"/>
                <w:sz w:val="22"/>
              </w:rPr>
              <w:t>Indicator</w:t>
            </w:r>
          </w:p>
        </w:tc>
        <w:tc>
          <w:tcPr>
            <w:tcW w:type="dxa" w:w="1934"/>
            <w:vAlign w:val="center"/>
            <w:shd w:val="clear" w:color="auto" w:fill="163AA2"/>
          </w:tcPr>
          <w:p>
            <w:pPr>
              <w:spacing w:after="0"/>
            </w:pPr>
            <w:r/>
            <w:r>
              <w:rPr>
                <w:b/>
                <w:color w:val="FFFFFF"/>
                <w:sz w:val="22"/>
              </w:rPr>
              <w:t>Target</w:t>
            </w:r>
          </w:p>
        </w:tc>
        <w:tc>
          <w:tcPr>
            <w:tcW w:type="dxa" w:w="3868"/>
            <w:vAlign w:val="center"/>
            <w:shd w:val="clear" w:color="auto" w:fill="163AA2"/>
          </w:tcPr>
          <w:p>
            <w:pPr>
              <w:spacing w:after="0"/>
            </w:pPr>
            <w:r/>
            <w:r>
              <w:rPr>
                <w:b/>
                <w:color w:val="FFFFFF"/>
                <w:sz w:val="22"/>
              </w:rPr>
              <w:t>How measured</w:t>
            </w:r>
          </w:p>
        </w:tc>
      </w:tr>
      <w:tr>
        <w:tc>
          <w:tcPr>
            <w:tcW w:type="dxa" w:w="3223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Sessions conducted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1,600</w:t>
            </w:r>
          </w:p>
        </w:tc>
        <w:tc>
          <w:tcPr>
            <w:tcW w:type="dxa" w:w="3868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Visit logs signed by schools</w:t>
            </w:r>
          </w:p>
        </w:tc>
      </w:tr>
      <w:tr>
        <w:tc>
          <w:tcPr>
            <w:tcW w:type="dxa" w:w="3223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2"/>
              </w:rPr>
              <w:t>Students reached</w:t>
            </w:r>
          </w:p>
        </w:tc>
        <w:tc>
          <w:tcPr>
            <w:tcW w:type="dxa" w:w="193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2"/>
              </w:rPr>
              <w:t>8,000</w:t>
            </w:r>
          </w:p>
        </w:tc>
        <w:tc>
          <w:tcPr>
            <w:tcW w:type="dxa" w:w="386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2"/>
              </w:rPr>
              <w:t>Attendance</w:t>
            </w:r>
          </w:p>
        </w:tc>
      </w:tr>
      <w:tr>
        <w:tc>
          <w:tcPr>
            <w:tcW w:type="dxa" w:w="3223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Concept test scores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Improvement over baseline</w:t>
            </w:r>
          </w:p>
        </w:tc>
        <w:tc>
          <w:tcPr>
            <w:tcW w:type="dxa" w:w="3868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Pre/post tests</w:t>
            </w:r>
          </w:p>
        </w:tc>
      </w:tr>
      <w:tr>
        <w:tc>
          <w:tcPr>
            <w:tcW w:type="dxa" w:w="3223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2"/>
              </w:rPr>
              <w:t>Teachers trained</w:t>
            </w:r>
          </w:p>
        </w:tc>
        <w:tc>
          <w:tcPr>
            <w:tcW w:type="dxa" w:w="193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2"/>
              </w:rPr>
              <w:t>80</w:t>
            </w:r>
          </w:p>
        </w:tc>
        <w:tc>
          <w:tcPr>
            <w:tcW w:type="dxa" w:w="3868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2"/>
              </w:rPr>
              <w:t>Workshop records</w:t>
            </w:r>
          </w:p>
        </w:tc>
      </w:tr>
    </w:tbl>
    <w:p>
      <w:pPr>
        <w:spacing w:after="80"/>
      </w:pPr>
    </w:p>
    <w:p>
      <w:pPr>
        <w:pStyle w:val="Heading1"/>
      </w:pPr>
      <w:r>
        <w:t>9. Risks and Mitigation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112"/>
        <w:gridCol w:w="1556"/>
        <w:gridCol w:w="4357"/>
      </w:tblGrid>
      <w:tr>
        <w:trPr>
          <w:tblHeader/>
        </w:trPr>
        <w:tc>
          <w:tcPr>
            <w:tcW w:type="dxa" w:w="3112"/>
            <w:vAlign w:val="center"/>
            <w:shd w:val="clear" w:color="auto" w:fill="163AA2"/>
          </w:tcPr>
          <w:p>
            <w:pPr>
              <w:spacing w:after="0"/>
            </w:pPr>
            <w:r/>
            <w:r>
              <w:rPr>
                <w:b/>
                <w:color w:val="FFFFFF"/>
                <w:sz w:val="22"/>
              </w:rPr>
              <w:t>Risk</w:t>
            </w:r>
          </w:p>
        </w:tc>
        <w:tc>
          <w:tcPr>
            <w:tcW w:type="dxa" w:w="1556"/>
            <w:vAlign w:val="center"/>
            <w:shd w:val="clear" w:color="auto" w:fill="163AA2"/>
          </w:tcPr>
          <w:p>
            <w:pPr>
              <w:spacing w:after="0"/>
            </w:pPr>
            <w:r/>
            <w:r>
              <w:rPr>
                <w:b/>
                <w:color w:val="FFFFFF"/>
                <w:sz w:val="22"/>
              </w:rPr>
              <w:t>Likelihood</w:t>
            </w:r>
          </w:p>
        </w:tc>
        <w:tc>
          <w:tcPr>
            <w:tcW w:type="dxa" w:w="4357"/>
            <w:vAlign w:val="center"/>
            <w:shd w:val="clear" w:color="auto" w:fill="163AA2"/>
          </w:tcPr>
          <w:p>
            <w:pPr>
              <w:spacing w:after="0"/>
            </w:pPr>
            <w:r/>
            <w:r>
              <w:rPr>
                <w:b/>
                <w:color w:val="FFFFFF"/>
                <w:sz w:val="22"/>
              </w:rPr>
              <w:t>Mitigation</w:t>
            </w:r>
          </w:p>
        </w:tc>
      </w:tr>
      <w:tr>
        <w:tc>
          <w:tcPr>
            <w:tcW w:type="dxa" w:w="3112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Van breakdown</w:t>
            </w:r>
          </w:p>
        </w:tc>
        <w:tc>
          <w:tcPr>
            <w:tcW w:type="dxa" w:w="1556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Medium</w:t>
            </w:r>
          </w:p>
        </w:tc>
        <w:tc>
          <w:tcPr>
            <w:tcW w:type="dxa" w:w="4357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Maintenance contract and backup schedule</w:t>
            </w:r>
          </w:p>
        </w:tc>
      </w:tr>
      <w:tr>
        <w:tc>
          <w:tcPr>
            <w:tcW w:type="dxa" w:w="3112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2"/>
              </w:rPr>
              <w:t>School calendar changes</w:t>
            </w:r>
          </w:p>
        </w:tc>
        <w:tc>
          <w:tcPr>
            <w:tcW w:type="dxa" w:w="1556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2"/>
              </w:rPr>
              <w:t>Medium</w:t>
            </w:r>
          </w:p>
        </w:tc>
        <w:tc>
          <w:tcPr>
            <w:tcW w:type="dxa" w:w="4357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2"/>
              </w:rPr>
              <w:t>Advance timetable with education office</w:t>
            </w:r>
          </w:p>
        </w:tc>
      </w:tr>
      <w:tr>
        <w:tc>
          <w:tcPr>
            <w:tcW w:type="dxa" w:w="3112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Breakage of apparatus</w:t>
            </w:r>
          </w:p>
        </w:tc>
        <w:tc>
          <w:tcPr>
            <w:tcW w:type="dxa" w:w="1556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Medium</w:t>
            </w:r>
          </w:p>
        </w:tc>
        <w:tc>
          <w:tcPr>
            <w:tcW w:type="dxa" w:w="4357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Spare kits and consumable budget</w:t>
            </w:r>
          </w:p>
        </w:tc>
      </w:tr>
    </w:tbl>
    <w:p>
      <w:pPr>
        <w:spacing w:after="80"/>
      </w:pPr>
    </w:p>
    <w:p>
      <w:pPr>
        <w:pStyle w:val="Heading1"/>
      </w:pPr>
      <w:r>
        <w:t>10. Sustainability</w:t>
      </w:r>
    </w:p>
    <w:p>
      <w:pPr>
        <w:jc w:val="both"/>
      </w:pPr>
      <w:r>
        <w:t>After two years, the trust will seek support from the district administration and local businesses to continue operations, and trained teachers will carry activities forward.</w:t>
      </w:r>
    </w:p>
    <w:p>
      <w:pPr>
        <w:pStyle w:val="Heading1"/>
      </w:pPr>
      <w:r>
        <w:t>11. Conclusion</w:t>
      </w:r>
    </w:p>
    <w:p>
      <w:pPr>
        <w:jc w:val="both"/>
      </w:pPr>
      <w:r>
        <w:t>A mobile science lab is a cost-effective way to make science practical and exciting for thousands of students.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E8EDFB"/>
            <w:tcBorders>
              <w:left w:val="single" w:sz="36" w:space="0" w:color="1D4ED8"/>
            </w:tcBorders>
          </w:tcPr>
          <w:p>
            <w:pPr>
              <w:spacing w:after="60"/>
            </w:pPr>
            <w:r>
              <w:rPr>
                <w:b/>
                <w:color w:val="1D4ED8"/>
              </w:rPr>
              <w:t>Next step</w:t>
            </w:r>
          </w:p>
          <w:p>
            <w:pPr>
              <w:spacing w:after="0"/>
            </w:pPr>
            <w:r>
              <w:t>Approve a two-year grant of ₹41.3 lakh to launch the mobile science lab in the coming academic year.</w:t>
            </w:r>
          </w:p>
        </w:tc>
      </w:tr>
    </w:tbl>
    <w:p>
      <w:pPr>
        <w:spacing w:after="40"/>
      </w:pPr>
    </w:p>
    <w:p>
      <w:pPr>
        <w:spacing w:after="48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13"/>
        <w:gridCol w:w="4513"/>
      </w:tblGrid>
      <w:tr>
        <w:tc>
          <w:tcPr>
            <w:tcW w:type="dxa" w:w="4513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513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513"/>
          </w:tcPr>
          <w:p>
            <w:pPr>
              <w:spacing w:after="0"/>
              <w:jc w:val="center"/>
            </w:pPr>
            <w:r>
              <w:rPr>
                <w:b/>
              </w:rPr>
              <w:t>Dr. Arvind Kulkarni</w:t>
            </w:r>
          </w:p>
          <w:p>
            <w:pPr>
              <w:jc w:val="center"/>
            </w:pPr>
            <w:r>
              <w:rPr>
                <w:color w:val="74777A"/>
                <w:sz w:val="19"/>
              </w:rPr>
              <w:t>Submitted by</w:t>
            </w:r>
          </w:p>
        </w:tc>
        <w:tc>
          <w:tcPr>
            <w:tcW w:type="dxa" w:w="4513"/>
          </w:tcPr>
          <w:p>
            <w:pPr>
              <w:spacing w:after="0"/>
              <w:jc w:val="center"/>
            </w:pPr>
            <w:r>
              <w:rPr>
                <w:b/>
              </w:rPr>
            </w:r>
          </w:p>
          <w:p>
            <w:pPr>
              <w:jc w:val="center"/>
            </w:pPr>
            <w:r>
              <w:rPr>
                <w:color w:val="74777A"/>
                <w:sz w:val="19"/>
              </w:rPr>
              <w:t>Approved by (name, designation)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368" w:right="1440" w:bottom="1368" w:left="1440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74777A"/>
        <w:sz w:val="18"/>
      </w:rPr>
      <w:t xml:space="preserve">Page </w:t>
    </w:r>
    <w:r>
      <w:rPr>
        <w:color w:val="74777A"/>
        <w:sz w:val="18"/>
      </w:rPr>
      <w:fldChar w:fldCharType="begin"/>
    </w:r>
    <w:r>
      <w:rPr>
        <w:color w:val="74777A"/>
        <w:sz w:val="18"/>
      </w:rPr>
      <w:instrText xml:space="preserve"> PAGE </w:instrText>
    </w:r>
    <w:r>
      <w:rPr>
        <w:color w:val="74777A"/>
        <w:sz w:val="18"/>
      </w:rPr>
      <w:fldChar w:fldCharType="separate"/>
    </w:r>
    <w:r>
      <w:rPr>
        <w:color w:val="74777A"/>
        <w:sz w:val="18"/>
      </w:rPr>
      <w:t>1</w:t>
    </w:r>
    <w:r>
      <w:rPr>
        <w:color w:val="74777A"/>
        <w:sz w:val="18"/>
      </w:rPr>
      <w:fldChar w:fldCharType="end"/>
    </w:r>
    <w:r>
      <w:rPr>
        <w:color w:val="74777A"/>
        <w:sz w:val="18"/>
      </w:rPr>
      <w:t xml:space="preserve"> of </w:t>
    </w:r>
    <w:r>
      <w:rPr>
        <w:color w:val="74777A"/>
        <w:sz w:val="18"/>
      </w:rPr>
      <w:fldChar w:fldCharType="begin"/>
    </w:r>
    <w:r>
      <w:rPr>
        <w:color w:val="74777A"/>
        <w:sz w:val="18"/>
      </w:rPr>
      <w:instrText xml:space="preserve"> NUMPAGES </w:instrText>
    </w:r>
    <w:r>
      <w:rPr>
        <w:color w:val="74777A"/>
        <w:sz w:val="18"/>
      </w:rPr>
      <w:fldChar w:fldCharType="separate"/>
    </w:r>
    <w:r>
      <w:rPr>
        <w:color w:val="74777A"/>
        <w:sz w:val="18"/>
      </w:rPr>
      <w:t>1</w:t>
    </w:r>
    <w:r>
      <w:rPr>
        <w:color w:val="74777A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26" w:val="right"/>
      </w:tabs>
      <w:pBdr>
        <w:bottom w:val="single" w:sz="4" w:space="6" w:color="CECFD0"/>
      </w:pBdr>
    </w:pPr>
    <w:r/>
    <w:r>
      <w:rPr>
        <w:caps w:val="0"/>
        <w:color w:val="74777A"/>
        <w:sz w:val="17"/>
      </w:rPr>
      <w:t>Jigyasa Education Trust · Grant Proposal</w:t>
    </w:r>
    <w:r>
      <w:rPr>
        <w:color w:val="74777A"/>
        <w:sz w:val="17"/>
      </w:rPr>
      <w:tab/>
      <w:t>Mobile Science Lab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4" w:line="300" w:lineRule="auto"/>
    </w:pPr>
    <w:rPr>
      <w:rFonts w:ascii="Times New Roman" w:hAnsi="Times New Roman" w:cs="Times New Roman" w:eastAsia="Times New Roman"/>
      <w:color w:val="1F2328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ind w:left="198"/>
      <w:outlineLvl w:val="0"/>
      <w:pBdr>
        <w:left w:val="single" w:sz="24" w:space="10" w:color="1D4ED8"/>
      </w:pBdr>
    </w:pPr>
    <w:rPr>
      <w:rFonts w:ascii="Times New Roman" w:hAnsi="Times New Roman" w:cs="Times New Roman" w:eastAsia="Times New Roman"/>
      <w:b/>
      <w:bCs/>
      <w:i w:val="0"/>
      <w:color w:val="1F2328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Times New Roman" w:hAnsi="Times New Roman" w:cs="Times New Roman" w:eastAsia="Times New Roman"/>
      <w:b/>
      <w:bCs/>
      <w:i w:val="0"/>
      <w:color w:val="1D4ED8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Times New Roman" w:hAnsi="Times New Roman" w:cs="Times New Roman" w:eastAsia="Times New Roman"/>
      <w:b/>
      <w:bCs/>
      <w:i w:val="0"/>
      <w:color w:val="1F2328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Times New Roman" w:hAnsi="Times New Roman" w:cs="Times New Roman" w:eastAsia="Times New Roman"/>
      <w:b/>
      <w:color w:val="1F2328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Times New Roman" w:hAnsi="Times New Roman" w:cs="Times New Roman" w:eastAsia="Times New Roman"/>
      <w:i w:val="0"/>
      <w:iCs/>
      <w:color w:val="74777A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Times New Roman" w:hAnsi="Times New Roman" w:cs="Times New Roman" w:eastAsia="Times New Roman"/>
      <w:i w:val="0"/>
      <w:iCs/>
      <w:color w:val="1F2328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cs="Times New Roman" w:eastAsia="Times New Roman"/>
      <w:b w:val="0"/>
      <w:bCs/>
      <w:i/>
      <w:color w:val="74777A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Times New Roman" w:hAnsi="Times New Roman" w:cs="Times New Roman" w:eastAsia="Times New Roman"/>
      <w:b/>
      <w:sz w:val="26"/>
      <w:szCs w:val="26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Times New Roman" w:hAnsi="Times New Roman" w:cs="Times New Roman" w:eastAsia="Times New Roman"/>
      <w:b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