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0"/>
        <w:jc w:val="center"/>
      </w:pPr>
      <w:r>
        <w:rPr>
          <w:sz w:val="38"/>
        </w:rPr>
        <w:t>Digital Payments and Cash Management in Small Retail Shops: Evidence from a Survey of Kirana Owners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Pr>
      <w:tblGrid>
        <w:gridCol w:w="4706"/>
        <w:gridCol w:w="4706"/>
      </w:tblGrid>
      <w:tr>
        <w:tc>
          <w:tcPr>
            <w:tcW w:type="dxa" w:w="4706"/>
          </w:tcPr>
          <w:p>
            <w:pPr>
              <w:spacing w:after="0"/>
              <w:jc w:val="center"/>
            </w:pPr>
            <w:r>
              <w:rPr>
                <w:b/>
              </w:rPr>
              <w:t>Neha Agarwal</w:t>
            </w:r>
          </w:p>
          <w:p>
            <w:pPr>
              <w:spacing w:after="0"/>
              <w:jc w:val="center"/>
            </w:pPr>
            <w:r>
              <w:rPr>
                <w:color w:val="72706F"/>
                <w:sz w:val="18"/>
              </w:rPr>
              <w:t>School of Management, Your University, Indore</w:t>
            </w:r>
          </w:p>
          <w:p>
            <w:pPr>
              <w:spacing w:after="0"/>
              <w:jc w:val="center"/>
            </w:pPr>
            <w:r>
              <w:rPr>
                <w:color w:val="72706F"/>
                <w:sz w:val="18"/>
              </w:rPr>
              <w:t>neha@youremail.edu</w:t>
            </w:r>
          </w:p>
        </w:tc>
        <w:tc>
          <w:tcPr>
            <w:tcW w:type="dxa" w:w="4706"/>
          </w:tcPr>
          <w:p>
            <w:pPr>
              <w:spacing w:after="0"/>
              <w:jc w:val="center"/>
            </w:pPr>
            <w:r>
              <w:rPr>
                <w:b/>
              </w:rPr>
              <w:t>Manish Jain</w:t>
            </w:r>
          </w:p>
          <w:p>
            <w:pPr>
              <w:spacing w:after="0"/>
              <w:jc w:val="center"/>
            </w:pPr>
            <w:r>
              <w:rPr>
                <w:color w:val="72706F"/>
                <w:sz w:val="18"/>
              </w:rPr>
              <w:t>School of Commerce, Your University, Indore</w:t>
            </w:r>
          </w:p>
          <w:p>
            <w:pPr>
              <w:spacing w:after="0"/>
              <w:jc w:val="center"/>
            </w:pPr>
            <w:r>
              <w:rPr>
                <w:color w:val="72706F"/>
                <w:sz w:val="18"/>
              </w:rPr>
              <w:t>manish@youremail.edu</w:t>
            </w:r>
          </w:p>
        </w:tc>
      </w:tr>
    </w:tbl>
    <w:p>
      <w:pPr>
        <w:spacing w:after="160"/>
      </w:pPr>
    </w:p>
    <w:p>
      <w:pPr>
        <w:jc w:val="both"/>
      </w:pPr>
      <w:r>
        <w:rPr>
          <w:b/>
          <w:i/>
        </w:rPr>
        <w:t xml:space="preserve">Abstract— </w:t>
      </w:r>
      <w:r>
        <w:t>Instant digital payments have spread rapidly among small retailers. This paper studies how their adoption has changed cash handling, record keeping and working-capital practices in neighbourhood grocery shops. Based on a structured survey and follow-up interviews, we find that most owners now receive a large share of payments digitally, spend less time handling cash and report easier reconciliation, while concerns remain about transaction failures and settlement delays. The paper offers recommendations for payment providers and policy makers. All survey figures in this template are sample data.</w:t>
      </w:r>
    </w:p>
    <w:p>
      <w:pPr>
        <w:jc w:val="both"/>
      </w:pPr>
      <w:r>
        <w:rPr>
          <w:b/>
          <w:i/>
        </w:rPr>
        <w:t xml:space="preserve">Index Terms— </w:t>
      </w:r>
      <w:r>
        <w:rPr>
          <w:i/>
        </w:rPr>
        <w:t>digital payments, small retail, kirana stores, financial inclusion, survey research</w:t>
      </w:r>
    </w:p>
    <w:p>
      <w:pPr>
        <w:pStyle w:val="Caption"/>
        <w:jc w:val="center"/>
      </w:pPr>
      <w:r>
        <w:t>This is a template: all data, results and references are placeholders for the author to replace.</w:t>
      </w:r>
    </w:p>
    <w:p>
      <w:pPr>
        <w:pStyle w:val="Heading1"/>
      </w:pPr>
      <w:r>
        <w:t>I. INTRODUCTION</w:t>
      </w:r>
    </w:p>
    <w:p>
      <w:pPr>
        <w:jc w:val="both"/>
      </w:pPr>
      <w:r>
        <w:t>Neighbourhood grocery stores are central to daily life in Indian cities and towns. Traditionally they operated almost entirely in cash and informal credit.</w:t>
      </w:r>
    </w:p>
    <w:p>
      <w:pPr>
        <w:jc w:val="both"/>
      </w:pPr>
      <w:r>
        <w:t>Instant payment apps and QR codes have changed this quickly. Understanding how small retailers experience this change helps design better tools and policies.</w:t>
      </w:r>
    </w:p>
    <w:p>
      <w:pPr>
        <w:jc w:val="both"/>
      </w:pPr>
      <w:r>
        <w:t>The main contributions of this paper are as follows:</w:t>
      </w:r>
    </w:p>
    <w:p>
      <w:pPr>
        <w:pStyle w:val="ListBullet"/>
      </w:pPr>
      <w:r>
        <w:t>Survey evidence on the share of digital payments in small shops.</w:t>
      </w:r>
    </w:p>
    <w:p>
      <w:pPr>
        <w:pStyle w:val="ListBullet"/>
      </w:pPr>
      <w:r>
        <w:t>Analysis of changes in cash handling time, record keeping and credit practices.</w:t>
      </w:r>
    </w:p>
    <w:p>
      <w:pPr>
        <w:pStyle w:val="ListBullet"/>
      </w:pPr>
      <w:r>
        <w:t>Recommendations based on owners’ concerns.</w:t>
      </w:r>
    </w:p>
    <w:p>
      <w:pPr>
        <w:jc w:val="both"/>
      </w:pPr>
      <w:r>
        <w:t>The rest of the paper is organised as follows. Section II reviews related work, Section III describes the proposed survey method, Section IV presents the experimental setup, Section V reports and discusses the results, and Section VI concludes the paper.</w:t>
      </w:r>
    </w:p>
    <w:p>
      <w:pPr>
        <w:pStyle w:val="Heading1"/>
      </w:pPr>
      <w:r>
        <w:t>II. RELATED WORK</w:t>
      </w:r>
    </w:p>
    <w:p>
      <w:pPr>
        <w:jc w:val="both"/>
      </w:pPr>
      <w:r>
        <w:t>Studies of financial inclusion link digital payments to better access to formal credit [1].</w:t>
      </w:r>
    </w:p>
    <w:p>
      <w:pPr>
        <w:jc w:val="both"/>
      </w:pPr>
      <w:r>
        <w:t>Research on merchant adoption highlights trust, cost and ease of use as key factors [2].</w:t>
      </w:r>
    </w:p>
    <w:p>
      <w:pPr>
        <w:jc w:val="both"/>
      </w:pPr>
      <w:r>
        <w:t>Some studies report that informal credit to regular customers persists despite digital adoption [3].</w:t>
      </w:r>
    </w:p>
    <w:p>
      <w:pPr>
        <w:jc w:val="both"/>
      </w:pPr>
      <w:r>
        <w:t>Work on transaction failures shows their effect on merchant trust [4].</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743"/>
        <w:gridCol w:w="3096"/>
        <w:gridCol w:w="2476"/>
        <w:gridCol w:w="3096"/>
      </w:tblGrid>
      <w:tr>
        <w:trPr>
          <w:tblHeader/>
        </w:trPr>
        <w:tc>
          <w:tcPr>
            <w:tcW w:type="dxa" w:w="743"/>
            <w:vAlign w:val="center"/>
            <w:shd w:val="clear" w:color="auto" w:fill="7C2D12"/>
          </w:tcPr>
          <w:p>
            <w:pPr>
              <w:spacing w:after="0"/>
            </w:pPr>
            <w:r/>
            <w:r>
              <w:rPr>
                <w:b/>
                <w:color w:val="FFFFFF"/>
                <w:sz w:val="19"/>
              </w:rPr>
              <w:t>Ref.</w:t>
            </w:r>
          </w:p>
        </w:tc>
        <w:tc>
          <w:tcPr>
            <w:tcW w:type="dxa" w:w="3096"/>
            <w:vAlign w:val="center"/>
            <w:shd w:val="clear" w:color="auto" w:fill="7C2D12"/>
          </w:tcPr>
          <w:p>
            <w:pPr>
              <w:spacing w:after="0"/>
            </w:pPr>
            <w:r/>
            <w:r>
              <w:rPr>
                <w:b/>
                <w:color w:val="FFFFFF"/>
                <w:sz w:val="19"/>
              </w:rPr>
              <w:t>Approach</w:t>
            </w:r>
          </w:p>
        </w:tc>
        <w:tc>
          <w:tcPr>
            <w:tcW w:type="dxa" w:w="2477"/>
            <w:vAlign w:val="center"/>
            <w:shd w:val="clear" w:color="auto" w:fill="7C2D12"/>
          </w:tcPr>
          <w:p>
            <w:pPr>
              <w:spacing w:after="0"/>
            </w:pPr>
            <w:r/>
            <w:r>
              <w:rPr>
                <w:b/>
                <w:color w:val="FFFFFF"/>
                <w:sz w:val="19"/>
              </w:rPr>
              <w:t>Data</w:t>
            </w:r>
          </w:p>
        </w:tc>
        <w:tc>
          <w:tcPr>
            <w:tcW w:type="dxa" w:w="3096"/>
            <w:vAlign w:val="center"/>
            <w:shd w:val="clear" w:color="auto" w:fill="7C2D12"/>
          </w:tcPr>
          <w:p>
            <w:pPr>
              <w:spacing w:after="0"/>
            </w:pPr>
            <w:r/>
            <w:r>
              <w:rPr>
                <w:b/>
                <w:color w:val="FFFFFF"/>
                <w:sz w:val="19"/>
              </w:rPr>
              <w:t>Limitation</w:t>
            </w:r>
          </w:p>
        </w:tc>
      </w:tr>
      <w:tr>
        <w:tc>
          <w:tcPr>
            <w:tcW w:type="dxa" w:w="743"/>
            <w:vAlign w:val="center"/>
          </w:tcPr>
          <w:p>
            <w:pPr>
              <w:spacing w:after="0"/>
            </w:pPr>
            <w:r/>
            <w:r>
              <w:rPr>
                <w:sz w:val="19"/>
              </w:rPr>
              <w:t>[1]</w:t>
            </w:r>
          </w:p>
        </w:tc>
        <w:tc>
          <w:tcPr>
            <w:tcW w:type="dxa" w:w="3096"/>
            <w:vAlign w:val="center"/>
          </w:tcPr>
          <w:p>
            <w:pPr>
              <w:spacing w:after="0"/>
            </w:pPr>
            <w:r/>
            <w:r>
              <w:rPr>
                <w:sz w:val="19"/>
              </w:rPr>
              <w:t>Adoption survey</w:t>
            </w:r>
          </w:p>
        </w:tc>
        <w:tc>
          <w:tcPr>
            <w:tcW w:type="dxa" w:w="2477"/>
            <w:vAlign w:val="center"/>
          </w:tcPr>
          <w:p>
            <w:pPr>
              <w:spacing w:after="0"/>
            </w:pPr>
            <w:r/>
            <w:r>
              <w:rPr>
                <w:sz w:val="19"/>
              </w:rPr>
              <w:t>Urban merchants</w:t>
            </w:r>
          </w:p>
        </w:tc>
        <w:tc>
          <w:tcPr>
            <w:tcW w:type="dxa" w:w="3096"/>
            <w:vAlign w:val="center"/>
          </w:tcPr>
          <w:p>
            <w:pPr>
              <w:spacing w:after="0"/>
            </w:pPr>
            <w:r/>
            <w:r>
              <w:rPr>
                <w:sz w:val="19"/>
              </w:rPr>
              <w:t>No cash-handling data</w:t>
            </w:r>
          </w:p>
        </w:tc>
      </w:tr>
      <w:tr>
        <w:tc>
          <w:tcPr>
            <w:tcW w:type="dxa" w:w="743"/>
            <w:vAlign w:val="center"/>
            <w:shd w:val="clear" w:color="auto" w:fill="F2EAE7"/>
          </w:tcPr>
          <w:p>
            <w:pPr>
              <w:spacing w:after="0"/>
            </w:pPr>
            <w:r/>
            <w:r>
              <w:rPr>
                <w:sz w:val="19"/>
              </w:rPr>
              <w:t>[2]</w:t>
            </w:r>
          </w:p>
        </w:tc>
        <w:tc>
          <w:tcPr>
            <w:tcW w:type="dxa" w:w="3096"/>
            <w:vAlign w:val="center"/>
            <w:shd w:val="clear" w:color="auto" w:fill="F2EAE7"/>
          </w:tcPr>
          <w:p>
            <w:pPr>
              <w:spacing w:after="0"/>
            </w:pPr>
            <w:r/>
            <w:r>
              <w:rPr>
                <w:sz w:val="19"/>
              </w:rPr>
              <w:t>Inclusion study</w:t>
            </w:r>
          </w:p>
        </w:tc>
        <w:tc>
          <w:tcPr>
            <w:tcW w:type="dxa" w:w="2477"/>
            <w:vAlign w:val="center"/>
            <w:shd w:val="clear" w:color="auto" w:fill="F2EAE7"/>
          </w:tcPr>
          <w:p>
            <w:pPr>
              <w:spacing w:after="0"/>
            </w:pPr>
            <w:r/>
            <w:r>
              <w:rPr>
                <w:sz w:val="19"/>
              </w:rPr>
              <w:t>Households</w:t>
            </w:r>
          </w:p>
        </w:tc>
        <w:tc>
          <w:tcPr>
            <w:tcW w:type="dxa" w:w="3096"/>
            <w:vAlign w:val="center"/>
            <w:shd w:val="clear" w:color="auto" w:fill="F2EAE7"/>
          </w:tcPr>
          <w:p>
            <w:pPr>
              <w:spacing w:after="0"/>
            </w:pPr>
            <w:r/>
            <w:r>
              <w:rPr>
                <w:sz w:val="19"/>
              </w:rPr>
              <w:t>Not merchant-focused</w:t>
            </w:r>
          </w:p>
        </w:tc>
      </w:tr>
      <w:tr>
        <w:tc>
          <w:tcPr>
            <w:tcW w:type="dxa" w:w="743"/>
            <w:vAlign w:val="center"/>
          </w:tcPr>
          <w:p>
            <w:pPr>
              <w:spacing w:after="0"/>
            </w:pPr>
            <w:r/>
            <w:r>
              <w:rPr>
                <w:sz w:val="19"/>
              </w:rPr>
              <w:t>[3]</w:t>
            </w:r>
          </w:p>
        </w:tc>
        <w:tc>
          <w:tcPr>
            <w:tcW w:type="dxa" w:w="3096"/>
            <w:vAlign w:val="center"/>
          </w:tcPr>
          <w:p>
            <w:pPr>
              <w:spacing w:after="0"/>
            </w:pPr>
            <w:r/>
            <w:r>
              <w:rPr>
                <w:sz w:val="19"/>
              </w:rPr>
              <w:t>Case studies</w:t>
            </w:r>
          </w:p>
        </w:tc>
        <w:tc>
          <w:tcPr>
            <w:tcW w:type="dxa" w:w="2477"/>
            <w:vAlign w:val="center"/>
          </w:tcPr>
          <w:p>
            <w:pPr>
              <w:spacing w:after="0"/>
            </w:pPr>
            <w:r/>
            <w:r>
              <w:rPr>
                <w:sz w:val="19"/>
              </w:rPr>
              <w:t>Rural shops</w:t>
            </w:r>
          </w:p>
        </w:tc>
        <w:tc>
          <w:tcPr>
            <w:tcW w:type="dxa" w:w="3096"/>
            <w:vAlign w:val="center"/>
          </w:tcPr>
          <w:p>
            <w:pPr>
              <w:spacing w:after="0"/>
            </w:pPr>
            <w:r/>
            <w:r>
              <w:rPr>
                <w:sz w:val="19"/>
              </w:rPr>
              <w:t>Small sample</w:t>
            </w:r>
          </w:p>
        </w:tc>
      </w:tr>
      <w:tr>
        <w:tc>
          <w:tcPr>
            <w:tcW w:type="dxa" w:w="743"/>
            <w:vAlign w:val="center"/>
            <w:shd w:val="clear" w:color="auto" w:fill="F2EAE7"/>
          </w:tcPr>
          <w:p>
            <w:pPr>
              <w:spacing w:after="0"/>
            </w:pPr>
            <w:r/>
            <w:r>
              <w:rPr>
                <w:sz w:val="19"/>
              </w:rPr>
              <w:t>[4]</w:t>
            </w:r>
          </w:p>
        </w:tc>
        <w:tc>
          <w:tcPr>
            <w:tcW w:type="dxa" w:w="3096"/>
            <w:vAlign w:val="center"/>
            <w:shd w:val="clear" w:color="auto" w:fill="F2EAE7"/>
          </w:tcPr>
          <w:p>
            <w:pPr>
              <w:spacing w:after="0"/>
            </w:pPr>
            <w:r/>
            <w:r>
              <w:rPr>
                <w:sz w:val="19"/>
              </w:rPr>
              <w:t>Failure analysis</w:t>
            </w:r>
          </w:p>
        </w:tc>
        <w:tc>
          <w:tcPr>
            <w:tcW w:type="dxa" w:w="2477"/>
            <w:vAlign w:val="center"/>
            <w:shd w:val="clear" w:color="auto" w:fill="F2EAE7"/>
          </w:tcPr>
          <w:p>
            <w:pPr>
              <w:spacing w:after="0"/>
            </w:pPr>
            <w:r/>
            <w:r>
              <w:rPr>
                <w:sz w:val="19"/>
              </w:rPr>
              <w:t>Transaction logs</w:t>
            </w:r>
          </w:p>
        </w:tc>
        <w:tc>
          <w:tcPr>
            <w:tcW w:type="dxa" w:w="3096"/>
            <w:vAlign w:val="center"/>
            <w:shd w:val="clear" w:color="auto" w:fill="F2EAE7"/>
          </w:tcPr>
          <w:p>
            <w:pPr>
              <w:spacing w:after="0"/>
            </w:pPr>
            <w:r/>
            <w:r>
              <w:rPr>
                <w:sz w:val="19"/>
              </w:rPr>
              <w:t>No merchant view</w:t>
            </w:r>
          </w:p>
        </w:tc>
      </w:tr>
    </w:tbl>
    <w:p>
      <w:pPr>
        <w:spacing w:after="80"/>
      </w:pPr>
    </w:p>
    <w:p>
      <w:pPr>
        <w:pStyle w:val="Caption"/>
        <w:jc w:val="center"/>
      </w:pPr>
      <w:r>
        <w:t>TABLE I. Summary of related work</w:t>
      </w:r>
    </w:p>
    <w:p>
      <w:pPr>
        <w:pStyle w:val="Heading1"/>
      </w:pPr>
      <w:r>
        <w:t>III. PROPOSED SURVEY METHOD</w:t>
      </w:r>
    </w:p>
    <w:p>
      <w:pPr>
        <w:jc w:val="both"/>
      </w:pPr>
      <w:r>
        <w:t>A structured questionnaire covering payment mix, time spent on cash handling, record keeping and concerns was administered in person. Twenty owners were also interviewed in depth.</w:t>
      </w:r>
    </w:p>
    <w:p>
      <w:pPr>
        <w:jc w:val="both"/>
      </w:pPr>
      <w:r>
        <w:t>Responses were analysed with descriptive statistics and cross-tabulation; interview notes were coded thematically.</w:t>
      </w:r>
    </w:p>
    <w:p>
      <w:pPr>
        <w:pStyle w:val="Heading2"/>
      </w:pPr>
      <w:r>
        <w:t>A. Overview</w:t>
      </w:r>
    </w:p>
    <w:p>
      <w:pPr>
        <w:jc w:val="both"/>
      </w:pPr>
      <w:r>
        <w:t>The study used a mixed-method design: a quantitative survey followed by qualitative interviews to explain the patterns found.</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412"/>
      </w:tblGrid>
      <w:tr>
        <w:trPr>
          <w:trHeight w:val="3118" w:hRule="exact"/>
        </w:trPr>
        <w:tc>
          <w:tcPr>
            <w:tcW w:type="dxa" w:w="9411"/>
            <w:shd w:val="clear" w:color="auto" w:fill="F2EAE7"/>
            <w:vAlign w:val="center"/>
          </w:tcPr>
          <w:p>
            <w:pPr>
              <w:jc w:val="center"/>
            </w:pPr>
            <w:r>
              <w:rPr>
                <w:color w:val="72706F"/>
                <w:sz w:val="20"/>
              </w:rPr>
              <w:t>Figure placeholder — block diagram of the proposed survey method</w:t>
            </w:r>
          </w:p>
        </w:tc>
      </w:tr>
    </w:tbl>
    <w:p>
      <w:pPr>
        <w:pStyle w:val="Caption"/>
        <w:spacing w:before="80"/>
        <w:jc w:val="center"/>
      </w:pPr>
      <w:r>
        <w:t>Fig. 1. Overview of the proposed survey method</w:t>
      </w:r>
    </w:p>
    <w:p>
      <w:pPr>
        <w:pStyle w:val="Heading2"/>
      </w:pPr>
      <w:r>
        <w:t>B. Algorithm</w:t>
      </w:r>
    </w:p>
    <w:p>
      <w:pPr>
        <w:pStyle w:val="ListNumber"/>
      </w:pPr>
      <w:r>
        <w:t>Design and pilot the questionnaire.</w:t>
      </w:r>
    </w:p>
    <w:p>
      <w:pPr>
        <w:pStyle w:val="ListNumber"/>
      </w:pPr>
      <w:r>
        <w:t>Select shops by stratified random sampling across city zones.</w:t>
      </w:r>
    </w:p>
    <w:p>
      <w:pPr>
        <w:pStyle w:val="ListNumber"/>
      </w:pPr>
      <w:r>
        <w:t>Collect responses in person with informed consent.</w:t>
      </w:r>
    </w:p>
    <w:p>
      <w:pPr>
        <w:pStyle w:val="ListNumber"/>
      </w:pPr>
      <w:r>
        <w:t>Analyse survey data statistically.</w:t>
      </w:r>
    </w:p>
    <w:p>
      <w:pPr>
        <w:pStyle w:val="ListNumber"/>
      </w:pPr>
      <w:r>
        <w:t>Conduct and code follow-up interviews.</w:t>
      </w:r>
    </w:p>
    <w:p>
      <w:pPr>
        <w:pStyle w:val="Heading1"/>
      </w:pPr>
      <w:r>
        <w:t>IV. EXPERIMENTAL SETUP</w:t>
      </w:r>
    </w:p>
    <w:p>
      <w:pPr>
        <w:jc w:val="both"/>
      </w:pPr>
      <w:r>
        <w:t>The survey covered small grocery shops across four zones of one city (sample size for this template: 240 shops). Participation was voluntary and anonymous.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7C2D12"/>
          </w:tcPr>
          <w:p>
            <w:pPr>
              <w:spacing w:after="0"/>
            </w:pPr>
            <w:r/>
            <w:r>
              <w:rPr>
                <w:b/>
                <w:color w:val="FFFFFF"/>
                <w:sz w:val="19"/>
              </w:rPr>
              <w:t>Parameter</w:t>
            </w:r>
          </w:p>
        </w:tc>
        <w:tc>
          <w:tcPr>
            <w:tcW w:type="dxa" w:w="4706"/>
            <w:vAlign w:val="center"/>
            <w:shd w:val="clear" w:color="auto" w:fill="7C2D12"/>
          </w:tcPr>
          <w:p>
            <w:pPr>
              <w:spacing w:after="0"/>
            </w:pPr>
            <w:r/>
            <w:r>
              <w:rPr>
                <w:b/>
                <w:color w:val="FFFFFF"/>
                <w:sz w:val="19"/>
              </w:rPr>
              <w:t>Value</w:t>
            </w:r>
          </w:p>
        </w:tc>
      </w:tr>
      <w:tr>
        <w:tc>
          <w:tcPr>
            <w:tcW w:type="dxa" w:w="4706"/>
            <w:vAlign w:val="center"/>
          </w:tcPr>
          <w:p>
            <w:pPr>
              <w:spacing w:after="0"/>
            </w:pPr>
            <w:r/>
            <w:r>
              <w:rPr>
                <w:sz w:val="19"/>
              </w:rPr>
              <w:t>Sample</w:t>
            </w:r>
          </w:p>
        </w:tc>
        <w:tc>
          <w:tcPr>
            <w:tcW w:type="dxa" w:w="4706"/>
            <w:vAlign w:val="center"/>
          </w:tcPr>
          <w:p>
            <w:pPr>
              <w:spacing w:after="0"/>
            </w:pPr>
            <w:r/>
            <w:r>
              <w:rPr>
                <w:sz w:val="19"/>
              </w:rPr>
              <w:t>240 shops (sample)</w:t>
            </w:r>
          </w:p>
        </w:tc>
      </w:tr>
      <w:tr>
        <w:tc>
          <w:tcPr>
            <w:tcW w:type="dxa" w:w="4706"/>
            <w:vAlign w:val="center"/>
            <w:shd w:val="clear" w:color="auto" w:fill="F2EAE7"/>
          </w:tcPr>
          <w:p>
            <w:pPr>
              <w:spacing w:after="0"/>
            </w:pPr>
            <w:r/>
            <w:r>
              <w:rPr>
                <w:sz w:val="19"/>
              </w:rPr>
              <w:t>Sampling</w:t>
            </w:r>
          </w:p>
        </w:tc>
        <w:tc>
          <w:tcPr>
            <w:tcW w:type="dxa" w:w="4706"/>
            <w:vAlign w:val="center"/>
            <w:shd w:val="clear" w:color="auto" w:fill="F2EAE7"/>
          </w:tcPr>
          <w:p>
            <w:pPr>
              <w:spacing w:after="0"/>
            </w:pPr>
            <w:r/>
            <w:r>
              <w:rPr>
                <w:sz w:val="19"/>
              </w:rPr>
              <w:t>Stratified random</w:t>
            </w:r>
          </w:p>
        </w:tc>
      </w:tr>
      <w:tr>
        <w:tc>
          <w:tcPr>
            <w:tcW w:type="dxa" w:w="4706"/>
            <w:vAlign w:val="center"/>
          </w:tcPr>
          <w:p>
            <w:pPr>
              <w:spacing w:after="0"/>
            </w:pPr>
            <w:r/>
            <w:r>
              <w:rPr>
                <w:sz w:val="19"/>
              </w:rPr>
              <w:t>Zones</w:t>
            </w:r>
          </w:p>
        </w:tc>
        <w:tc>
          <w:tcPr>
            <w:tcW w:type="dxa" w:w="4706"/>
            <w:vAlign w:val="center"/>
          </w:tcPr>
          <w:p>
            <w:pPr>
              <w:spacing w:after="0"/>
            </w:pPr>
            <w:r/>
            <w:r>
              <w:rPr>
                <w:sz w:val="19"/>
              </w:rPr>
              <w:t>4</w:t>
            </w:r>
          </w:p>
        </w:tc>
      </w:tr>
      <w:tr>
        <w:tc>
          <w:tcPr>
            <w:tcW w:type="dxa" w:w="4706"/>
            <w:vAlign w:val="center"/>
            <w:shd w:val="clear" w:color="auto" w:fill="F2EAE7"/>
          </w:tcPr>
          <w:p>
            <w:pPr>
              <w:spacing w:after="0"/>
            </w:pPr>
            <w:r/>
            <w:r>
              <w:rPr>
                <w:sz w:val="19"/>
              </w:rPr>
              <w:t>Interviews</w:t>
            </w:r>
          </w:p>
        </w:tc>
        <w:tc>
          <w:tcPr>
            <w:tcW w:type="dxa" w:w="4706"/>
            <w:vAlign w:val="center"/>
            <w:shd w:val="clear" w:color="auto" w:fill="F2EAE7"/>
          </w:tcPr>
          <w:p>
            <w:pPr>
              <w:spacing w:after="0"/>
            </w:pPr>
            <w:r/>
            <w:r>
              <w:rPr>
                <w:sz w:val="19"/>
              </w:rPr>
              <w:t>20</w:t>
            </w:r>
          </w:p>
        </w:tc>
      </w:tr>
      <w:tr>
        <w:tc>
          <w:tcPr>
            <w:tcW w:type="dxa" w:w="4706"/>
            <w:vAlign w:val="center"/>
          </w:tcPr>
          <w:p>
            <w:pPr>
              <w:spacing w:after="0"/>
            </w:pPr>
            <w:r/>
            <w:r>
              <w:rPr>
                <w:sz w:val="19"/>
              </w:rPr>
              <w:t>Instrument</w:t>
            </w:r>
          </w:p>
        </w:tc>
        <w:tc>
          <w:tcPr>
            <w:tcW w:type="dxa" w:w="4706"/>
            <w:vAlign w:val="center"/>
          </w:tcPr>
          <w:p>
            <w:pPr>
              <w:spacing w:after="0"/>
            </w:pPr>
            <w:r/>
            <w:r>
              <w:rPr>
                <w:sz w:val="19"/>
              </w:rPr>
              <w:t>Structured questionnaire</w:t>
            </w:r>
          </w:p>
        </w:tc>
      </w:tr>
      <w:tr>
        <w:tc>
          <w:tcPr>
            <w:tcW w:type="dxa" w:w="4706"/>
            <w:vAlign w:val="center"/>
            <w:shd w:val="clear" w:color="auto" w:fill="F2EAE7"/>
          </w:tcPr>
          <w:p>
            <w:pPr>
              <w:spacing w:after="0"/>
            </w:pPr>
            <w:r/>
            <w:r>
              <w:rPr>
                <w:sz w:val="19"/>
              </w:rPr>
              <w:t>Analysis</w:t>
            </w:r>
          </w:p>
        </w:tc>
        <w:tc>
          <w:tcPr>
            <w:tcW w:type="dxa" w:w="4706"/>
            <w:vAlign w:val="center"/>
            <w:shd w:val="clear" w:color="auto" w:fill="F2EAE7"/>
          </w:tcPr>
          <w:p>
            <w:pPr>
              <w:spacing w:after="0"/>
            </w:pPr>
            <w:r/>
            <w:r>
              <w:rPr>
                <w:sz w:val="19"/>
              </w:rPr>
              <w:t>Descriptive + thematic</w:t>
            </w:r>
          </w:p>
        </w:tc>
      </w:tr>
    </w:tbl>
    <w:p>
      <w:pPr>
        <w:spacing w:after="80"/>
      </w:pPr>
    </w:p>
    <w:p>
      <w:pPr>
        <w:pStyle w:val="Caption"/>
        <w:jc w:val="center"/>
      </w:pPr>
      <w:r>
        <w:t>TABLE II. Experimental parameters</w:t>
      </w:r>
    </w:p>
    <w:p>
      <w:pPr>
        <w:pStyle w:val="Heading2"/>
      </w:pPr>
      <w:r>
        <w:t>A. Evaluation Metrics</w:t>
      </w:r>
    </w:p>
    <w:p>
      <w:pPr>
        <w:pStyle w:val="ListBullet"/>
      </w:pPr>
      <w:r>
        <w:t>Share of sales received digitally</w:t>
      </w:r>
    </w:p>
    <w:p>
      <w:pPr>
        <w:pStyle w:val="ListBullet"/>
      </w:pPr>
      <w:r>
        <w:t>Time spent on daily cash handling</w:t>
      </w:r>
    </w:p>
    <w:p>
      <w:pPr>
        <w:pStyle w:val="ListBullet"/>
      </w:pPr>
      <w:r>
        <w:t>Owner-reported ease of reconciliation (5-point scale)</w:t>
      </w:r>
    </w:p>
    <w:p>
      <w:pPr>
        <w:pStyle w:val="Heading1"/>
      </w:pPr>
      <w:r>
        <w:t>V. RESULTS AND DISCUSSION</w:t>
      </w:r>
    </w:p>
    <w:p>
      <w:pPr>
        <w:jc w:val="both"/>
      </w:pPr>
      <w:r>
        <w:t>Most shops reported that more than half of their sales were received digitally, and time spent on cash handling fell considerably.</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7C2D12"/>
          </w:tcPr>
          <w:p>
            <w:pPr>
              <w:spacing w:after="0"/>
              <w:jc w:val="left"/>
            </w:pPr>
            <w:r/>
            <w:r>
              <w:rPr>
                <w:b/>
                <w:color w:val="FFFFFF"/>
                <w:sz w:val="19"/>
              </w:rPr>
              <w:t>Indicator</w:t>
            </w:r>
          </w:p>
        </w:tc>
        <w:tc>
          <w:tcPr>
            <w:tcW w:type="dxa" w:w="3137"/>
            <w:vAlign w:val="center"/>
            <w:shd w:val="clear" w:color="auto" w:fill="7C2D12"/>
          </w:tcPr>
          <w:p>
            <w:pPr>
              <w:spacing w:after="0"/>
              <w:jc w:val="center"/>
            </w:pPr>
            <w:r/>
            <w:r>
              <w:rPr>
                <w:b/>
                <w:color w:val="FFFFFF"/>
                <w:sz w:val="19"/>
              </w:rPr>
              <w:t>Before adoption</w:t>
            </w:r>
          </w:p>
        </w:tc>
        <w:tc>
          <w:tcPr>
            <w:tcW w:type="dxa" w:w="3137"/>
            <w:vAlign w:val="center"/>
            <w:shd w:val="clear" w:color="auto" w:fill="7C2D12"/>
          </w:tcPr>
          <w:p>
            <w:pPr>
              <w:spacing w:after="0"/>
              <w:jc w:val="center"/>
            </w:pPr>
            <w:r/>
            <w:r>
              <w:rPr>
                <w:b/>
                <w:color w:val="FFFFFF"/>
                <w:sz w:val="19"/>
              </w:rPr>
              <w:t>Current</w:t>
            </w:r>
          </w:p>
        </w:tc>
      </w:tr>
      <w:tr>
        <w:tc>
          <w:tcPr>
            <w:tcW w:type="dxa" w:w="3137"/>
            <w:vAlign w:val="center"/>
          </w:tcPr>
          <w:p>
            <w:pPr>
              <w:spacing w:after="0"/>
              <w:jc w:val="left"/>
            </w:pPr>
            <w:r/>
            <w:r>
              <w:rPr>
                <w:sz w:val="19"/>
              </w:rPr>
              <w:t>Digital share of sales</w:t>
            </w:r>
          </w:p>
        </w:tc>
        <w:tc>
          <w:tcPr>
            <w:tcW w:type="dxa" w:w="3137"/>
            <w:vAlign w:val="center"/>
          </w:tcPr>
          <w:p>
            <w:pPr>
              <w:spacing w:after="0"/>
              <w:jc w:val="center"/>
            </w:pPr>
            <w:r/>
            <w:r>
              <w:rPr>
                <w:sz w:val="19"/>
              </w:rPr>
              <w:t>10%</w:t>
            </w:r>
          </w:p>
        </w:tc>
        <w:tc>
          <w:tcPr>
            <w:tcW w:type="dxa" w:w="3137"/>
            <w:vAlign w:val="center"/>
          </w:tcPr>
          <w:p>
            <w:pPr>
              <w:spacing w:after="0"/>
              <w:jc w:val="center"/>
            </w:pPr>
            <w:r/>
            <w:r>
              <w:rPr>
                <w:sz w:val="19"/>
              </w:rPr>
              <w:t>58%</w:t>
            </w:r>
          </w:p>
        </w:tc>
      </w:tr>
      <w:tr>
        <w:tc>
          <w:tcPr>
            <w:tcW w:type="dxa" w:w="3137"/>
            <w:vAlign w:val="center"/>
            <w:shd w:val="clear" w:color="auto" w:fill="F2EAE7"/>
          </w:tcPr>
          <w:p>
            <w:pPr>
              <w:spacing w:after="0"/>
              <w:jc w:val="left"/>
            </w:pPr>
            <w:r/>
            <w:r>
              <w:rPr>
                <w:sz w:val="19"/>
              </w:rPr>
              <w:t>Daily cash handling time</w:t>
            </w:r>
          </w:p>
        </w:tc>
        <w:tc>
          <w:tcPr>
            <w:tcW w:type="dxa" w:w="3137"/>
            <w:vAlign w:val="center"/>
            <w:shd w:val="clear" w:color="auto" w:fill="F2EAE7"/>
          </w:tcPr>
          <w:p>
            <w:pPr>
              <w:spacing w:after="0"/>
              <w:jc w:val="center"/>
            </w:pPr>
            <w:r/>
            <w:r>
              <w:rPr>
                <w:sz w:val="19"/>
              </w:rPr>
              <w:t>55 min</w:t>
            </w:r>
          </w:p>
        </w:tc>
        <w:tc>
          <w:tcPr>
            <w:tcW w:type="dxa" w:w="3137"/>
            <w:vAlign w:val="center"/>
            <w:shd w:val="clear" w:color="auto" w:fill="F2EAE7"/>
          </w:tcPr>
          <w:p>
            <w:pPr>
              <w:spacing w:after="0"/>
              <w:jc w:val="center"/>
            </w:pPr>
            <w:r/>
            <w:r>
              <w:rPr>
                <w:sz w:val="19"/>
              </w:rPr>
              <w:t>25 min</w:t>
            </w:r>
          </w:p>
        </w:tc>
      </w:tr>
      <w:tr>
        <w:tc>
          <w:tcPr>
            <w:tcW w:type="dxa" w:w="3137"/>
            <w:vAlign w:val="center"/>
          </w:tcPr>
          <w:p>
            <w:pPr>
              <w:spacing w:after="0"/>
              <w:jc w:val="left"/>
            </w:pPr>
            <w:r/>
            <w:r>
              <w:rPr>
                <w:sz w:val="19"/>
              </w:rPr>
              <w:t>Owners keeping digital records</w:t>
            </w:r>
          </w:p>
        </w:tc>
        <w:tc>
          <w:tcPr>
            <w:tcW w:type="dxa" w:w="3137"/>
            <w:vAlign w:val="center"/>
          </w:tcPr>
          <w:p>
            <w:pPr>
              <w:spacing w:after="0"/>
              <w:jc w:val="center"/>
            </w:pPr>
            <w:r/>
            <w:r>
              <w:rPr>
                <w:sz w:val="19"/>
              </w:rPr>
              <w:t>18%</w:t>
            </w:r>
          </w:p>
        </w:tc>
        <w:tc>
          <w:tcPr>
            <w:tcW w:type="dxa" w:w="3137"/>
            <w:vAlign w:val="center"/>
          </w:tcPr>
          <w:p>
            <w:pPr>
              <w:spacing w:after="0"/>
              <w:jc w:val="center"/>
            </w:pPr>
            <w:r/>
            <w:r>
              <w:rPr>
                <w:sz w:val="19"/>
              </w:rPr>
              <w:t>46%</w:t>
            </w:r>
          </w:p>
        </w:tc>
      </w:tr>
      <w:tr>
        <w:tc>
          <w:tcPr>
            <w:tcW w:type="dxa" w:w="3137"/>
            <w:vAlign w:val="center"/>
            <w:shd w:val="clear" w:color="auto" w:fill="F2EAE7"/>
          </w:tcPr>
          <w:p>
            <w:pPr>
              <w:spacing w:after="0"/>
              <w:jc w:val="left"/>
            </w:pPr>
            <w:r/>
            <w:r>
              <w:rPr>
                <w:sz w:val="19"/>
              </w:rPr>
              <w:t>Ease of reconciliation (1–5)</w:t>
            </w:r>
          </w:p>
        </w:tc>
        <w:tc>
          <w:tcPr>
            <w:tcW w:type="dxa" w:w="3137"/>
            <w:vAlign w:val="center"/>
            <w:shd w:val="clear" w:color="auto" w:fill="F2EAE7"/>
          </w:tcPr>
          <w:p>
            <w:pPr>
              <w:spacing w:after="0"/>
              <w:jc w:val="center"/>
            </w:pPr>
            <w:r/>
            <w:r>
              <w:rPr>
                <w:sz w:val="19"/>
              </w:rPr>
              <w:t>2.6</w:t>
            </w:r>
          </w:p>
        </w:tc>
        <w:tc>
          <w:tcPr>
            <w:tcW w:type="dxa" w:w="3137"/>
            <w:vAlign w:val="center"/>
            <w:shd w:val="clear" w:color="auto" w:fill="F2EAE7"/>
          </w:tcPr>
          <w:p>
            <w:pPr>
              <w:spacing w:after="0"/>
              <w:jc w:val="center"/>
            </w:pPr>
            <w:r/>
            <w:r>
              <w:rPr>
                <w:sz w:val="19"/>
              </w:rPr>
              <w:t>3.9</w:t>
            </w:r>
          </w:p>
        </w:tc>
      </w:tr>
    </w:tbl>
    <w:p>
      <w:pPr>
        <w:spacing w:after="80"/>
      </w:pPr>
    </w:p>
    <w:p>
      <w:pPr>
        <w:pStyle w:val="Caption"/>
        <w:jc w:val="center"/>
      </w:pPr>
      <w:r>
        <w:t>TABLE III. Comparison with baseline methods (sample data)</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412"/>
      </w:tblGrid>
      <w:tr>
        <w:trPr>
          <w:trHeight w:val="3118" w:hRule="exact"/>
        </w:trPr>
        <w:tc>
          <w:tcPr>
            <w:tcW w:type="dxa" w:w="9411"/>
            <w:shd w:val="clear" w:color="auto" w:fill="F2EAE7"/>
            <w:vAlign w:val="center"/>
          </w:tcPr>
          <w:p>
            <w:pPr>
              <w:jc w:val="center"/>
            </w:pPr>
            <w:r>
              <w:rPr>
                <w:color w:val="72706F"/>
                <w:sz w:val="20"/>
              </w:rPr>
              <w:t>Chart placeholder — insert a graph of your results</w:t>
            </w:r>
          </w:p>
        </w:tc>
      </w:tr>
    </w:tbl>
    <w:p>
      <w:pPr>
        <w:pStyle w:val="Caption"/>
        <w:spacing w:before="80"/>
        <w:jc w:val="center"/>
      </w:pPr>
      <w:r>
        <w:t>Fig. 2. Share of sales by payment mode across city zones (sample data)</w:t>
      </w:r>
    </w:p>
    <w:p>
      <w:pPr>
        <w:jc w:val="both"/>
      </w:pPr>
      <w:r>
        <w:t>Owners valued faster reconciliation and reduced cash risk, but worried about failed transactions and occasional fraud attempts.</w:t>
      </w:r>
    </w:p>
    <w:p>
      <w:pPr>
        <w:jc w:val="both"/>
      </w:pPr>
      <w:r>
        <w:t>Informal credit to known customers continues, now often settled digitally at the end of the month.</w:t>
      </w:r>
    </w:p>
    <w:p>
      <w:pPr>
        <w:pStyle w:val="Heading2"/>
      </w:pPr>
      <w:r>
        <w:t>A. Ablation Study</w:t>
      </w:r>
    </w:p>
    <w:p>
      <w:pPr>
        <w:jc w:val="both"/>
      </w:pPr>
      <w:r>
        <w:t>To understand the contribution of each component, we removed one component at a time and repeated the evaluation. Table IV shows that every component contributes to the final result, with the largest drop observed when the interview data is removed.</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6274"/>
        <w:gridCol w:w="3137"/>
      </w:tblGrid>
      <w:tr>
        <w:trPr>
          <w:tblHeader/>
        </w:trPr>
        <w:tc>
          <w:tcPr>
            <w:tcW w:type="dxa" w:w="6274"/>
            <w:vAlign w:val="center"/>
            <w:shd w:val="clear" w:color="auto" w:fill="7C2D12"/>
          </w:tcPr>
          <w:p>
            <w:pPr>
              <w:spacing w:after="0"/>
              <w:jc w:val="left"/>
            </w:pPr>
            <w:r/>
            <w:r>
              <w:rPr>
                <w:b/>
                <w:color w:val="FFFFFF"/>
                <w:sz w:val="19"/>
              </w:rPr>
              <w:t>Variant</w:t>
            </w:r>
          </w:p>
        </w:tc>
        <w:tc>
          <w:tcPr>
            <w:tcW w:type="dxa" w:w="3137"/>
            <w:vAlign w:val="center"/>
            <w:shd w:val="clear" w:color="auto" w:fill="7C2D12"/>
          </w:tcPr>
          <w:p>
            <w:pPr>
              <w:spacing w:after="0"/>
              <w:jc w:val="center"/>
            </w:pPr>
            <w:r/>
            <w:r>
              <w:rPr>
                <w:b/>
                <w:color w:val="FFFFFF"/>
                <w:sz w:val="19"/>
              </w:rPr>
              <w:t>Digital share</w:t>
            </w:r>
          </w:p>
        </w:tc>
      </w:tr>
      <w:tr>
        <w:tc>
          <w:tcPr>
            <w:tcW w:type="dxa" w:w="6274"/>
            <w:vAlign w:val="center"/>
          </w:tcPr>
          <w:p>
            <w:pPr>
              <w:spacing w:after="0"/>
              <w:jc w:val="left"/>
            </w:pPr>
            <w:r/>
            <w:r>
              <w:rPr>
                <w:sz w:val="19"/>
              </w:rPr>
              <w:t>Full model</w:t>
            </w:r>
          </w:p>
        </w:tc>
        <w:tc>
          <w:tcPr>
            <w:tcW w:type="dxa" w:w="3137"/>
            <w:vAlign w:val="center"/>
          </w:tcPr>
          <w:p>
            <w:pPr>
              <w:spacing w:after="0"/>
              <w:jc w:val="center"/>
            </w:pPr>
            <w:r/>
            <w:r>
              <w:rPr>
                <w:sz w:val="19"/>
              </w:rPr>
              <w:t>58%</w:t>
            </w:r>
          </w:p>
        </w:tc>
      </w:tr>
      <w:tr>
        <w:tc>
          <w:tcPr>
            <w:tcW w:type="dxa" w:w="6274"/>
            <w:vAlign w:val="center"/>
            <w:shd w:val="clear" w:color="auto" w:fill="F2EAE7"/>
          </w:tcPr>
          <w:p>
            <w:pPr>
              <w:spacing w:after="0"/>
              <w:jc w:val="left"/>
            </w:pPr>
            <w:r/>
            <w:r>
              <w:rPr>
                <w:sz w:val="19"/>
              </w:rPr>
              <w:t>Without interview data</w:t>
            </w:r>
          </w:p>
        </w:tc>
        <w:tc>
          <w:tcPr>
            <w:tcW w:type="dxa" w:w="3137"/>
            <w:vAlign w:val="center"/>
            <w:shd w:val="clear" w:color="auto" w:fill="F2EAE7"/>
          </w:tcPr>
          <w:p>
            <w:pPr>
              <w:spacing w:after="0"/>
              <w:jc w:val="center"/>
            </w:pPr>
            <w:r/>
            <w:r>
              <w:rPr>
                <w:sz w:val="19"/>
              </w:rPr>
              <w:t>—</w:t>
            </w:r>
          </w:p>
        </w:tc>
      </w:tr>
      <w:tr>
        <w:tc>
          <w:tcPr>
            <w:tcW w:type="dxa" w:w="6274"/>
            <w:vAlign w:val="center"/>
          </w:tcPr>
          <w:p>
            <w:pPr>
              <w:spacing w:after="0"/>
              <w:jc w:val="left"/>
            </w:pPr>
            <w:r/>
            <w:r>
              <w:rPr>
                <w:sz w:val="19"/>
              </w:rPr>
              <w:t>Without pre-processing</w:t>
            </w:r>
          </w:p>
        </w:tc>
        <w:tc>
          <w:tcPr>
            <w:tcW w:type="dxa" w:w="3137"/>
            <w:vAlign w:val="center"/>
          </w:tcPr>
          <w:p>
            <w:pPr>
              <w:spacing w:after="0"/>
              <w:jc w:val="center"/>
            </w:pPr>
            <w:r/>
            <w:r>
              <w:rPr>
                <w:sz w:val="19"/>
              </w:rPr>
              <w:t>—</w:t>
            </w:r>
          </w:p>
        </w:tc>
      </w:tr>
      <w:tr>
        <w:tc>
          <w:tcPr>
            <w:tcW w:type="dxa" w:w="6274"/>
            <w:vAlign w:val="center"/>
            <w:shd w:val="clear" w:color="auto" w:fill="F2EAE7"/>
          </w:tcPr>
          <w:p>
            <w:pPr>
              <w:spacing w:after="0"/>
              <w:jc w:val="left"/>
            </w:pPr>
            <w:r/>
            <w:r>
              <w:rPr>
                <w:sz w:val="19"/>
              </w:rPr>
              <w:t>Baseline only</w:t>
            </w:r>
          </w:p>
        </w:tc>
        <w:tc>
          <w:tcPr>
            <w:tcW w:type="dxa" w:w="3137"/>
            <w:vAlign w:val="center"/>
            <w:shd w:val="clear" w:color="auto" w:fill="F2EAE7"/>
          </w:tcPr>
          <w:p>
            <w:pPr>
              <w:spacing w:after="0"/>
              <w:jc w:val="center"/>
            </w:pPr>
            <w:r/>
            <w:r>
              <w:rPr>
                <w:sz w:val="19"/>
              </w:rPr>
              <w:t>—</w:t>
            </w:r>
          </w:p>
        </w:tc>
      </w:tr>
    </w:tbl>
    <w:p>
      <w:pPr>
        <w:spacing w:after="80"/>
      </w:pPr>
    </w:p>
    <w:p>
      <w:pPr>
        <w:pStyle w:val="Caption"/>
        <w:jc w:val="center"/>
      </w:pPr>
      <w:r>
        <w:t>TABLE IV. Ablation results (sample data)</w:t>
      </w:r>
    </w:p>
    <w:p>
      <w:pPr>
        <w:pStyle w:val="Heading2"/>
      </w:pPr>
      <w:r>
        <w:t>B. Limitations</w:t>
      </w:r>
    </w:p>
    <w:p>
      <w:pPr>
        <w:pStyle w:val="ListBullet"/>
      </w:pPr>
      <w:r>
        <w:t>One city only.</w:t>
      </w:r>
    </w:p>
    <w:p>
      <w:pPr>
        <w:pStyle w:val="ListBullet"/>
      </w:pPr>
      <w:r>
        <w:t>Self-reported figures.</w:t>
      </w:r>
    </w:p>
    <w:p>
      <w:pPr>
        <w:pStyle w:val="ListBullet"/>
      </w:pPr>
      <w:r>
        <w:t>Cross-sectional design.</w:t>
      </w:r>
    </w:p>
    <w:p>
      <w:pPr>
        <w:pStyle w:val="Heading1"/>
      </w:pPr>
      <w:r>
        <w:t>VI. CONCLUSION AND FUTURE WORK</w:t>
      </w:r>
    </w:p>
    <w:p>
      <w:pPr>
        <w:jc w:val="both"/>
      </w:pPr>
      <w:r>
        <w:t>Digital payments have substantially changed cash management in small shops, saving time and improving records, while trust issues remain.</w:t>
      </w:r>
    </w:p>
    <w:p>
      <w:pPr>
        <w:jc w:val="both"/>
      </w:pPr>
      <w:r>
        <w:t>Future research could follow shops over time and link payment data to access to formal credit.</w:t>
      </w:r>
    </w:p>
    <w:p>
      <w:pPr>
        <w:pStyle w:val="Heading1"/>
      </w:pPr>
      <w:r>
        <w:t>Acknowledgment</w:t>
      </w:r>
    </w:p>
    <w:p>
      <w:pPr>
        <w:jc w:val="both"/>
      </w:pPr>
      <w:r>
        <w:t>The authors thank the department and the participants who helped with data collection. Replace this paragraph with your own acknowledgment, including any funding support.</w:t>
      </w:r>
    </w:p>
    <w:p>
      <w:pPr>
        <w:pStyle w:val="Heading1"/>
      </w:pPr>
      <w:r>
        <w:t>References</w:t>
      </w:r>
    </w:p>
    <w:p>
      <w:pPr>
        <w:spacing w:after="60"/>
      </w:pPr>
      <w:r>
        <w:rPr>
          <w:sz w:val="19"/>
        </w:rPr>
        <w:t>[1] A. Author, B. Author, and C. Author, “Title of the journal article,” Journal Name, vol. 10, no. 2, pp. 101–112, 2023.</w:t>
      </w:r>
    </w:p>
    <w:p>
      <w:pPr>
        <w:spacing w:after="60"/>
      </w:pPr>
      <w:r>
        <w:rPr>
          <w:sz w:val="19"/>
        </w:rPr>
        <w:t>[2] D. Author and E. Author, “Title of the conference paper,” in Proc. Int. Conf. on Topic, City, 2022, pp. 45–50.</w:t>
      </w:r>
    </w:p>
    <w:p>
      <w:pPr>
        <w:spacing w:after="60"/>
      </w:pPr>
      <w:r>
        <w:rPr>
          <w:sz w:val="19"/>
        </w:rPr>
        <w:t>[3] F. Author, Title of the Book, 3rd ed. City: Publisher, 2021.</w:t>
      </w:r>
    </w:p>
    <w:p>
      <w:pPr>
        <w:spacing w:after="60"/>
      </w:pPr>
      <w:r>
        <w:rPr>
          <w:sz w:val="19"/>
        </w:rPr>
        <w:t>[4] G. Author et al., “Title of the article,” Transactions on Topic, vol. 7, pp. 220–231, 2024.</w:t>
      </w:r>
    </w:p>
    <w:p>
      <w:pPr>
        <w:spacing w:after="60"/>
      </w:pPr>
      <w:r>
        <w:rPr>
          <w:sz w:val="19"/>
        </w:rPr>
        <w:t>[5] H. Author, “Title of the thesis,” Ph.D. dissertation, Dept. Name, University Name, City, 2020.</w:t>
      </w:r>
    </w:p>
    <w:p>
      <w:pPr>
        <w:spacing w:after="60"/>
      </w:pPr>
      <w:r>
        <w:rPr>
          <w:sz w:val="19"/>
        </w:rPr>
        <w:t>[6] I. Author and J. Author, “Title of the preprint,” arXiv preprint, 2024.</w:t>
      </w:r>
    </w:p>
    <w:p>
      <w:pPr>
        <w:spacing w:after="60"/>
      </w:pPr>
      <w:r>
        <w:rPr>
          <w:sz w:val="19"/>
        </w:rPr>
        <w:t>[7] K. Author, “Title of the dataset or software,” Version 2.1, 2023. [Online]. Available: URL</w:t>
      </w:r>
    </w:p>
    <w:p>
      <w:pPr>
        <w:spacing w:after="60"/>
      </w:pPr>
      <w:r>
        <w:rPr>
          <w:sz w:val="19"/>
        </w:rPr>
        <w:t>[8] L. Author, M. Author, “Title of the survey paper,” ACM Computing Surveys, vol. 55, 2023.</w:t>
      </w:r>
    </w:p>
    <w:sectPr w:rsidR="00FC693F" w:rsidRPr="0006063C" w:rsidSect="00034616">
      <w:headerReference w:type="default" r:id="rId9"/>
      <w:footerReference w:type="default" r:id="rId10"/>
      <w:pgSz w:w="11906" w:h="16838"/>
      <w:pgMar w:top="1185" w:right="1247" w:bottom="1185"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DCCCC"/>
      </w:pBdr>
    </w:pPr>
    <w:r/>
    <w:r>
      <w:rPr>
        <w:caps/>
        <w:color w:val="72706F"/>
        <w:sz w:val="17"/>
      </w:rPr>
      <w:t>Digital payments in small retail</w:t>
    </w:r>
    <w:r>
      <w:rPr>
        <w:color w:val="72706F"/>
        <w:sz w:val="17"/>
      </w:rPr>
      <w:tab/>
      <w:t>Template · Journal of Management Studies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Roboto" w:hAnsi="Roboto" w:cs="Roboto" w:eastAsia="Roboto"/>
      <w:color w:val="1C191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80" w:after="160" w:line="264" w:lineRule="auto"/>
      <w:ind w:left="198"/>
      <w:outlineLvl w:val="0"/>
      <w:pBdr>
        <w:left w:val="single" w:sz="24" w:space="10" w:color="7C2D12"/>
      </w:pBdr>
    </w:pPr>
    <w:rPr>
      <w:rFonts w:ascii="Roboto" w:hAnsi="Roboto" w:cs="Roboto" w:eastAsia="Roboto"/>
      <w:b/>
      <w:bCs/>
      <w:i w:val="0"/>
      <w:color w:val="1C1917"/>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oboto" w:hAnsi="Roboto" w:cs="Roboto" w:eastAsia="Roboto"/>
      <w:b/>
      <w:bCs/>
      <w:i w:val="0"/>
      <w:color w:val="7C2D12"/>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oboto" w:hAnsi="Roboto" w:cs="Roboto" w:eastAsia="Roboto"/>
      <w:b/>
      <w:bCs/>
      <w:i w:val="0"/>
      <w:color w:val="1C191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oboto" w:hAnsi="Roboto" w:cs="Roboto" w:eastAsia="Roboto"/>
      <w:b/>
      <w:color w:val="1C191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Roboto" w:hAnsi="Roboto" w:cs="Roboto" w:eastAsia="Roboto"/>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oboto" w:hAnsi="Roboto" w:cs="Roboto" w:eastAsia="Roboto"/>
      <w:i/>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w:hAnsi="Roboto" w:cs="Roboto" w:eastAsia="Roboto"/>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Roboto" w:hAnsi="Roboto" w:cs="Roboto" w:eastAsia="Roboto"/>
      <w:b/>
      <w:sz w:val="23"/>
      <w:szCs w:val="23"/>
    </w:rPr>
  </w:style>
  <w:style w:type="paragraph" w:customStyle="1" w:styleId="TOC2">
    <w:name w:val="TOC 2"/>
    <w:basedOn w:val="Normal"/>
    <w:pPr>
      <w:tabs>
        <w:tab w:pos="9411" w:val="right" w:leader="dot"/>
      </w:tabs>
      <w:spacing w:after="80"/>
      <w:ind w:left="340"/>
    </w:pPr>
    <w:rPr>
      <w:rFonts w:ascii="Roboto" w:hAnsi="Roboto" w:cs="Roboto" w:eastAsia="Roboto"/>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