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sz w:val="44"/>
        </w:rPr>
        <w:t>An Energy-Aware Cluster-Head Rotation Scheme for Wireless Sensor Networks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4513"/>
        <w:gridCol w:w="4513"/>
      </w:tblGrid>
      <w:tr>
        <w:tc>
          <w:tcPr>
            <w:tcW w:type="dxa" w:w="4513"/>
          </w:tcPr>
          <w:p>
            <w:pPr>
              <w:spacing w:after="0"/>
              <w:jc w:val="center"/>
            </w:pPr>
            <w:r>
              <w:rPr>
                <w:b/>
              </w:rPr>
              <w:t>Deepak Yadav</w:t>
            </w:r>
          </w:p>
          <w:p>
            <w:pPr>
              <w:spacing w:after="0"/>
              <w:jc w:val="center"/>
            </w:pPr>
            <w:r>
              <w:rPr>
                <w:color w:val="6B7079"/>
                <w:sz w:val="18"/>
              </w:rPr>
              <w:t>Dept. of ECE, Your Institute of Technology, Kanpur</w:t>
            </w:r>
          </w:p>
          <w:p>
            <w:pPr>
              <w:spacing w:after="0"/>
              <w:jc w:val="center"/>
            </w:pPr>
            <w:r>
              <w:rPr>
                <w:color w:val="6B7079"/>
                <w:sz w:val="18"/>
              </w:rPr>
              <w:t>deepak@youremail.edu</w:t>
            </w:r>
          </w:p>
        </w:tc>
        <w:tc>
          <w:tcPr>
            <w:tcW w:type="dxa" w:w="4513"/>
          </w:tcPr>
          <w:p>
            <w:pPr>
              <w:spacing w:after="0"/>
              <w:jc w:val="center"/>
            </w:pPr>
            <w:r>
              <w:rPr>
                <w:b/>
              </w:rPr>
              <w:t>Sanya Kapoor</w:t>
            </w:r>
          </w:p>
          <w:p>
            <w:pPr>
              <w:spacing w:after="0"/>
              <w:jc w:val="center"/>
            </w:pPr>
            <w:r>
              <w:rPr>
                <w:color w:val="6B7079"/>
                <w:sz w:val="18"/>
              </w:rPr>
              <w:t>Dept. of ECE, Your Institute of Technology, Kanpur</w:t>
            </w:r>
          </w:p>
          <w:p>
            <w:pPr>
              <w:spacing w:after="0"/>
              <w:jc w:val="center"/>
            </w:pPr>
            <w:r>
              <w:rPr>
                <w:color w:val="6B7079"/>
                <w:sz w:val="18"/>
              </w:rPr>
              <w:t>sanya@youremail.edu</w:t>
            </w:r>
          </w:p>
        </w:tc>
      </w:tr>
    </w:tbl>
    <w:p>
      <w:pPr>
        <w:spacing w:after="160"/>
      </w:pPr>
    </w:p>
    <w:p>
      <w:pPr>
        <w:jc w:val="both"/>
      </w:pPr>
      <w:r>
        <w:rPr>
          <w:b/>
          <w:i/>
        </w:rPr>
        <w:t xml:space="preserve">Abstract— </w:t>
      </w:r>
      <w:r>
        <w:t>Battery life limits the usefulness of wireless sensor networks deployed in fields, forests and buildings. Clustering reduces energy use by letting cluster heads aggregate data, but poor head selection drains some nodes quickly. This paper proposes a cluster-head rotation scheme that considers residual energy and distance to the base station. Simulations show longer network lifetime and more even energy consumption than a widely used baseline. All values in this template are sample results.</w:t>
      </w:r>
    </w:p>
    <w:p>
      <w:pPr>
        <w:jc w:val="both"/>
      </w:pPr>
      <w:r>
        <w:rPr>
          <w:b/>
          <w:i/>
        </w:rPr>
        <w:t xml:space="preserve">Index Terms— </w:t>
      </w:r>
      <w:r>
        <w:rPr>
          <w:i/>
        </w:rPr>
        <w:t>wireless sensor networks, clustering, energy efficiency, network lifetime, routing</w:t>
      </w:r>
    </w:p>
    <w:p>
      <w:pPr>
        <w:pStyle w:val="Caption"/>
        <w:jc w:val="center"/>
      </w:pPr>
      <w:r>
        <w:t>This is a template: all data, results and references are placeholders for the author to replace.</w:t>
      </w:r>
    </w:p>
    <w:p>
      <w:pPr>
        <w:pStyle w:val="Heading1"/>
      </w:pPr>
      <w:r>
        <w:t>I. INTRODUCTION</w:t>
      </w:r>
    </w:p>
    <w:p>
      <w:pPr>
        <w:jc w:val="both"/>
      </w:pPr>
      <w:r>
        <w:t>Wireless sensor networks consist of many small battery-powered nodes that measure physical quantities and send data to a base station. Replacing batteries is often impractical, so energy efficiency determines how long a network remains useful.</w:t>
      </w:r>
    </w:p>
    <w:p>
      <w:pPr>
        <w:jc w:val="both"/>
      </w:pPr>
      <w:r>
        <w:t>Clustering protocols group nodes so that only cluster heads communicate with the base station. If heads are chosen without considering remaining energy, some nodes die early and coverage is lost.</w:t>
      </w:r>
    </w:p>
    <w:p>
      <w:pPr>
        <w:jc w:val="both"/>
      </w:pPr>
      <w:r>
        <w:t>The main contributions of this paper are as follows:</w:t>
      </w:r>
    </w:p>
    <w:p>
      <w:pPr>
        <w:pStyle w:val="ListBullet"/>
      </w:pPr>
      <w:r>
        <w:t>A head-selection probability that combines residual energy and distance.</w:t>
      </w:r>
    </w:p>
    <w:p>
      <w:pPr>
        <w:pStyle w:val="ListBullet"/>
      </w:pPr>
      <w:r>
        <w:t>A rotation rule that prevents low-energy nodes from becoming heads.</w:t>
      </w:r>
    </w:p>
    <w:p>
      <w:pPr>
        <w:pStyle w:val="ListBullet"/>
      </w:pPr>
      <w:r>
        <w:t>A simulation study comparing lifetime and energy balance with a baseline protocol.</w:t>
      </w:r>
    </w:p>
    <w:p>
      <w:pPr>
        <w:jc w:val="both"/>
      </w:pPr>
      <w:r>
        <w:t>The rest of the paper is organised as follows. Section II reviews related work, Section III describes the proposed clustering scheme, Section IV presents the experimental setup, Section V reports and discusses the results, and Section VI concludes the paper.</w:t>
      </w:r>
    </w:p>
    <w:p>
      <w:pPr>
        <w:pStyle w:val="Heading1"/>
      </w:pPr>
      <w:r>
        <w:t>II. RELATED WORK</w:t>
      </w:r>
    </w:p>
    <w:p>
      <w:pPr>
        <w:jc w:val="both"/>
      </w:pPr>
      <w:r>
        <w:t>Classic probabilistic clustering rotates heads randomly to spread energy use [1].</w:t>
      </w:r>
    </w:p>
    <w:p>
      <w:pPr>
        <w:jc w:val="both"/>
      </w:pPr>
      <w:r>
        <w:t>Energy-aware variants weight the probability by residual energy [2].</w:t>
      </w:r>
    </w:p>
    <w:p>
      <w:pPr>
        <w:jc w:val="both"/>
      </w:pPr>
      <w:r>
        <w:t>Distance-aware schemes reduce long-range transmissions [3].</w:t>
      </w:r>
    </w:p>
    <w:p>
      <w:pPr>
        <w:jc w:val="both"/>
      </w:pPr>
      <w:r>
        <w:t>Multi-hop clustering further reduces energy in large fields [4].</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712"/>
        <w:gridCol w:w="2969"/>
        <w:gridCol w:w="2375"/>
        <w:gridCol w:w="2969"/>
      </w:tblGrid>
      <w:tr>
        <w:trPr>
          <w:tblHeader/>
        </w:trPr>
        <w:tc>
          <w:tcPr>
            <w:tcW w:type="dxa" w:w="713"/>
            <w:vAlign w:val="center"/>
            <w:shd w:val="clear" w:color="auto" w:fill="794A05"/>
          </w:tcPr>
          <w:p>
            <w:pPr>
              <w:spacing w:after="0"/>
            </w:pPr>
            <w:r/>
            <w:r>
              <w:rPr>
                <w:b/>
                <w:color w:val="FFFFFF"/>
                <w:sz w:val="20"/>
              </w:rPr>
              <w:t>Ref.</w:t>
            </w:r>
          </w:p>
        </w:tc>
        <w:tc>
          <w:tcPr>
            <w:tcW w:type="dxa" w:w="2969"/>
            <w:vAlign w:val="center"/>
            <w:shd w:val="clear" w:color="auto" w:fill="794A05"/>
          </w:tcPr>
          <w:p>
            <w:pPr>
              <w:spacing w:after="0"/>
            </w:pPr>
            <w:r/>
            <w:r>
              <w:rPr>
                <w:b/>
                <w:color w:val="FFFFFF"/>
                <w:sz w:val="20"/>
              </w:rPr>
              <w:t>Approach</w:t>
            </w:r>
          </w:p>
        </w:tc>
        <w:tc>
          <w:tcPr>
            <w:tcW w:type="dxa" w:w="2375"/>
            <w:vAlign w:val="center"/>
            <w:shd w:val="clear" w:color="auto" w:fill="794A05"/>
          </w:tcPr>
          <w:p>
            <w:pPr>
              <w:spacing w:after="0"/>
            </w:pPr>
            <w:r/>
            <w:r>
              <w:rPr>
                <w:b/>
                <w:color w:val="FFFFFF"/>
                <w:sz w:val="20"/>
              </w:rPr>
              <w:t>Data</w:t>
            </w:r>
          </w:p>
        </w:tc>
        <w:tc>
          <w:tcPr>
            <w:tcW w:type="dxa" w:w="2969"/>
            <w:vAlign w:val="center"/>
            <w:shd w:val="clear" w:color="auto" w:fill="794A05"/>
          </w:tcPr>
          <w:p>
            <w:pPr>
              <w:spacing w:after="0"/>
            </w:pPr>
            <w:r/>
            <w:r>
              <w:rPr>
                <w:b/>
                <w:color w:val="FFFFFF"/>
                <w:sz w:val="20"/>
              </w:rPr>
              <w:t>Limitation</w:t>
            </w:r>
          </w:p>
        </w:tc>
      </w:tr>
      <w:tr>
        <w:tc>
          <w:tcPr>
            <w:tcW w:type="dxa" w:w="713"/>
            <w:vAlign w:val="center"/>
          </w:tcPr>
          <w:p>
            <w:pPr>
              <w:spacing w:after="0"/>
            </w:pPr>
            <w:r/>
            <w:r>
              <w:rPr>
                <w:sz w:val="20"/>
              </w:rPr>
              <w:t>[1]</w:t>
            </w:r>
          </w:p>
        </w:tc>
        <w:tc>
          <w:tcPr>
            <w:tcW w:type="dxa" w:w="2969"/>
            <w:vAlign w:val="center"/>
          </w:tcPr>
          <w:p>
            <w:pPr>
              <w:spacing w:after="0"/>
            </w:pPr>
            <w:r/>
            <w:r>
              <w:rPr>
                <w:sz w:val="20"/>
              </w:rPr>
              <w:t>Random rotation</w:t>
            </w:r>
          </w:p>
        </w:tc>
        <w:tc>
          <w:tcPr>
            <w:tcW w:type="dxa" w:w="2375"/>
            <w:vAlign w:val="center"/>
          </w:tcPr>
          <w:p>
            <w:pPr>
              <w:spacing w:after="0"/>
            </w:pPr>
            <w:r/>
            <w:r>
              <w:rPr>
                <w:sz w:val="20"/>
              </w:rPr>
              <w:t>Simulation</w:t>
            </w:r>
          </w:p>
        </w:tc>
        <w:tc>
          <w:tcPr>
            <w:tcW w:type="dxa" w:w="2969"/>
            <w:vAlign w:val="center"/>
          </w:tcPr>
          <w:p>
            <w:pPr>
              <w:spacing w:after="0"/>
            </w:pPr>
            <w:r/>
            <w:r>
              <w:rPr>
                <w:sz w:val="20"/>
              </w:rPr>
              <w:t>Ignores energy</w:t>
            </w:r>
          </w:p>
        </w:tc>
      </w:tr>
      <w:tr>
        <w:tc>
          <w:tcPr>
            <w:tcW w:type="dxa" w:w="713"/>
            <w:vAlign w:val="center"/>
            <w:shd w:val="clear" w:color="auto" w:fill="F6EFE6"/>
          </w:tcPr>
          <w:p>
            <w:pPr>
              <w:spacing w:after="0"/>
            </w:pPr>
            <w:r/>
            <w:r>
              <w:rPr>
                <w:sz w:val="20"/>
              </w:rPr>
              <w:t>[2]</w:t>
            </w:r>
          </w:p>
        </w:tc>
        <w:tc>
          <w:tcPr>
            <w:tcW w:type="dxa" w:w="2969"/>
            <w:vAlign w:val="center"/>
            <w:shd w:val="clear" w:color="auto" w:fill="F6EFE6"/>
          </w:tcPr>
          <w:p>
            <w:pPr>
              <w:spacing w:after="0"/>
            </w:pPr>
            <w:r/>
            <w:r>
              <w:rPr>
                <w:sz w:val="20"/>
              </w:rPr>
              <w:t>Energy-weighted</w:t>
            </w:r>
          </w:p>
        </w:tc>
        <w:tc>
          <w:tcPr>
            <w:tcW w:type="dxa" w:w="2375"/>
            <w:vAlign w:val="center"/>
            <w:shd w:val="clear" w:color="auto" w:fill="F6EFE6"/>
          </w:tcPr>
          <w:p>
            <w:pPr>
              <w:spacing w:after="0"/>
            </w:pPr>
            <w:r/>
            <w:r>
              <w:rPr>
                <w:sz w:val="20"/>
              </w:rPr>
              <w:t>Simulation</w:t>
            </w:r>
          </w:p>
        </w:tc>
        <w:tc>
          <w:tcPr>
            <w:tcW w:type="dxa" w:w="2969"/>
            <w:vAlign w:val="center"/>
            <w:shd w:val="clear" w:color="auto" w:fill="F6EFE6"/>
          </w:tcPr>
          <w:p>
            <w:pPr>
              <w:spacing w:after="0"/>
            </w:pPr>
            <w:r/>
            <w:r>
              <w:rPr>
                <w:sz w:val="20"/>
              </w:rPr>
              <w:t>Ignores distance</w:t>
            </w:r>
          </w:p>
        </w:tc>
      </w:tr>
      <w:tr>
        <w:tc>
          <w:tcPr>
            <w:tcW w:type="dxa" w:w="713"/>
            <w:vAlign w:val="center"/>
          </w:tcPr>
          <w:p>
            <w:pPr>
              <w:spacing w:after="0"/>
            </w:pPr>
            <w:r/>
            <w:r>
              <w:rPr>
                <w:sz w:val="20"/>
              </w:rPr>
              <w:t>[3]</w:t>
            </w:r>
          </w:p>
        </w:tc>
        <w:tc>
          <w:tcPr>
            <w:tcW w:type="dxa" w:w="2969"/>
            <w:vAlign w:val="center"/>
          </w:tcPr>
          <w:p>
            <w:pPr>
              <w:spacing w:after="0"/>
            </w:pPr>
            <w:r/>
            <w:r>
              <w:rPr>
                <w:sz w:val="20"/>
              </w:rPr>
              <w:t>Distance-aware</w:t>
            </w:r>
          </w:p>
        </w:tc>
        <w:tc>
          <w:tcPr>
            <w:tcW w:type="dxa" w:w="2375"/>
            <w:vAlign w:val="center"/>
          </w:tcPr>
          <w:p>
            <w:pPr>
              <w:spacing w:after="0"/>
            </w:pPr>
            <w:r/>
            <w:r>
              <w:rPr>
                <w:sz w:val="20"/>
              </w:rPr>
              <w:t>Testbed</w:t>
            </w:r>
          </w:p>
        </w:tc>
        <w:tc>
          <w:tcPr>
            <w:tcW w:type="dxa" w:w="2969"/>
            <w:vAlign w:val="center"/>
          </w:tcPr>
          <w:p>
            <w:pPr>
              <w:spacing w:after="0"/>
            </w:pPr>
            <w:r/>
            <w:r>
              <w:rPr>
                <w:sz w:val="20"/>
              </w:rPr>
              <w:t>Uneven load</w:t>
            </w:r>
          </w:p>
        </w:tc>
      </w:tr>
      <w:tr>
        <w:tc>
          <w:tcPr>
            <w:tcW w:type="dxa" w:w="713"/>
            <w:vAlign w:val="center"/>
            <w:shd w:val="clear" w:color="auto" w:fill="F6EFE6"/>
          </w:tcPr>
          <w:p>
            <w:pPr>
              <w:spacing w:after="0"/>
            </w:pPr>
            <w:r/>
            <w:r>
              <w:rPr>
                <w:sz w:val="20"/>
              </w:rPr>
              <w:t>[4]</w:t>
            </w:r>
          </w:p>
        </w:tc>
        <w:tc>
          <w:tcPr>
            <w:tcW w:type="dxa" w:w="2969"/>
            <w:vAlign w:val="center"/>
            <w:shd w:val="clear" w:color="auto" w:fill="F6EFE6"/>
          </w:tcPr>
          <w:p>
            <w:pPr>
              <w:spacing w:after="0"/>
            </w:pPr>
            <w:r/>
            <w:r>
              <w:rPr>
                <w:sz w:val="20"/>
              </w:rPr>
              <w:t>Multi-hop</w:t>
            </w:r>
          </w:p>
        </w:tc>
        <w:tc>
          <w:tcPr>
            <w:tcW w:type="dxa" w:w="2375"/>
            <w:vAlign w:val="center"/>
            <w:shd w:val="clear" w:color="auto" w:fill="F6EFE6"/>
          </w:tcPr>
          <w:p>
            <w:pPr>
              <w:spacing w:after="0"/>
            </w:pPr>
            <w:r/>
            <w:r>
              <w:rPr>
                <w:sz w:val="20"/>
              </w:rPr>
              <w:t>Simulation</w:t>
            </w:r>
          </w:p>
        </w:tc>
        <w:tc>
          <w:tcPr>
            <w:tcW w:type="dxa" w:w="2969"/>
            <w:vAlign w:val="center"/>
            <w:shd w:val="clear" w:color="auto" w:fill="F6EFE6"/>
          </w:tcPr>
          <w:p>
            <w:pPr>
              <w:spacing w:after="0"/>
            </w:pPr>
            <w:r/>
            <w:r>
              <w:rPr>
                <w:sz w:val="20"/>
              </w:rPr>
              <w:t>Complex routing</w:t>
            </w:r>
          </w:p>
        </w:tc>
      </w:tr>
    </w:tbl>
    <w:p>
      <w:pPr>
        <w:spacing w:after="80"/>
      </w:pPr>
    </w:p>
    <w:p>
      <w:pPr>
        <w:pStyle w:val="Caption"/>
        <w:jc w:val="center"/>
      </w:pPr>
      <w:r>
        <w:t>TABLE I. Summary of related work</w:t>
      </w:r>
    </w:p>
    <w:p>
      <w:pPr>
        <w:pStyle w:val="Heading1"/>
      </w:pPr>
      <w:r>
        <w:t>III. PROPOSED CLUSTERING SCHEME</w:t>
      </w:r>
    </w:p>
    <w:p>
      <w:pPr>
        <w:jc w:val="both"/>
      </w:pPr>
      <w:r>
        <w:t>In each round, a node computes a threshold that increases with its residual energy and decreases with its distance to the base station. Nodes whose energy is below a cut-off do not compete.</w:t>
      </w:r>
    </w:p>
    <w:p>
      <w:pPr>
        <w:jc w:val="both"/>
      </w:pPr>
      <w:r>
        <w:t>Elected heads advertise themselves; other nodes join the nearest head. Heads aggregate data before forwarding it.</w:t>
      </w:r>
    </w:p>
    <w:p>
      <w:pPr>
        <w:pStyle w:val="Heading2"/>
      </w:pPr>
      <w:r>
        <w:t>A. Overview</w:t>
      </w:r>
    </w:p>
    <w:p>
      <w:pPr>
        <w:jc w:val="both"/>
      </w:pPr>
      <w:r>
        <w:t>Operation proceeds in rounds, each with a set-up phase (head election and cluster formation) and a steady-state phase (data transmission).</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026"/>
      </w:tblGrid>
      <w:tr>
        <w:trPr>
          <w:trHeight w:val="3118" w:hRule="exact"/>
        </w:trPr>
        <w:tc>
          <w:tcPr>
            <w:tcW w:type="dxa" w:w="9026"/>
            <w:shd w:val="clear" w:color="auto" w:fill="F6EFE6"/>
            <w:vAlign w:val="center"/>
          </w:tcPr>
          <w:p>
            <w:pPr>
              <w:jc w:val="center"/>
            </w:pPr>
            <w:r>
              <w:rPr>
                <w:color w:val="6B7079"/>
                <w:sz w:val="20"/>
              </w:rPr>
              <w:t>Figure placeholder — block diagram of the proposed clustering scheme</w:t>
            </w:r>
          </w:p>
        </w:tc>
      </w:tr>
    </w:tbl>
    <w:p>
      <w:pPr>
        <w:pStyle w:val="Caption"/>
        <w:spacing w:before="80"/>
        <w:jc w:val="center"/>
      </w:pPr>
      <w:r>
        <w:t>Fig. 1. Overview of the proposed clustering scheme</w:t>
      </w:r>
    </w:p>
    <w:p>
      <w:pPr>
        <w:pStyle w:val="Heading2"/>
      </w:pPr>
      <w:r>
        <w:t>B. Algorithm</w:t>
      </w:r>
    </w:p>
    <w:p>
      <w:pPr>
        <w:pStyle w:val="ListNumber"/>
      </w:pPr>
      <w:r>
        <w:t>Compute the election threshold from residual energy and distance.</w:t>
      </w:r>
    </w:p>
    <w:p>
      <w:pPr>
        <w:pStyle w:val="ListNumber"/>
      </w:pPr>
      <w:r>
        <w:t>Draw a random number and become a head if it is below the threshold.</w:t>
      </w:r>
    </w:p>
    <w:p>
      <w:pPr>
        <w:pStyle w:val="ListNumber"/>
      </w:pPr>
      <w:r>
        <w:t>Advertise and form clusters.</w:t>
      </w:r>
    </w:p>
    <w:p>
      <w:pPr>
        <w:pStyle w:val="ListNumber"/>
      </w:pPr>
      <w:r>
        <w:t>Collect, aggregate and forward data.</w:t>
      </w:r>
    </w:p>
    <w:p>
      <w:pPr>
        <w:pStyle w:val="ListNumber"/>
      </w:pPr>
      <w:r>
        <w:t>Repeat in the next round.</w:t>
      </w:r>
    </w:p>
    <w:p>
      <w:pPr>
        <w:spacing w:after="120" w:before="80"/>
        <w:jc w:val="center"/>
      </w:pPr>
      <w:r>
        <w:rPr>
          <w:i/>
        </w:rPr>
        <w:t>T(n) = p / (1 − p (r mod 1/p)) × (E_res / E_init) × (d_avg / d_n)</w:t>
      </w:r>
    </w:p>
    <w:p>
      <w:pPr>
        <w:pStyle w:val="Heading1"/>
      </w:pPr>
      <w:r>
        <w:t>IV. EXPERIMENTAL SETUP</w:t>
      </w:r>
    </w:p>
    <w:p>
      <w:pPr>
        <w:jc w:val="both"/>
      </w:pPr>
      <w:r>
        <w:t>Simulations placed 100 nodes randomly in a 100 m × 100 m field with the base station at the centre. Each result is the average of 20 runs.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794A05"/>
          </w:tcPr>
          <w:p>
            <w:pPr>
              <w:spacing w:after="0"/>
            </w:pPr>
            <w:r/>
            <w:r>
              <w:rPr>
                <w:b/>
                <w:color w:val="FFFFFF"/>
                <w:sz w:val="20"/>
              </w:rPr>
              <w:t>Parameter</w:t>
            </w:r>
          </w:p>
        </w:tc>
        <w:tc>
          <w:tcPr>
            <w:tcW w:type="dxa" w:w="4513"/>
            <w:vAlign w:val="center"/>
            <w:shd w:val="clear" w:color="auto" w:fill="794A05"/>
          </w:tcPr>
          <w:p>
            <w:pPr>
              <w:spacing w:after="0"/>
            </w:pPr>
            <w:r/>
            <w:r>
              <w:rPr>
                <w:b/>
                <w:color w:val="FFFFFF"/>
                <w:sz w:val="20"/>
              </w:rPr>
              <w:t>Value</w:t>
            </w:r>
          </w:p>
        </w:tc>
      </w:tr>
      <w:tr>
        <w:tc>
          <w:tcPr>
            <w:tcW w:type="dxa" w:w="4513"/>
            <w:vAlign w:val="center"/>
          </w:tcPr>
          <w:p>
            <w:pPr>
              <w:spacing w:after="0"/>
            </w:pPr>
            <w:r/>
            <w:r>
              <w:rPr>
                <w:sz w:val="20"/>
              </w:rPr>
              <w:t>Nodes</w:t>
            </w:r>
          </w:p>
        </w:tc>
        <w:tc>
          <w:tcPr>
            <w:tcW w:type="dxa" w:w="4513"/>
            <w:vAlign w:val="center"/>
          </w:tcPr>
          <w:p>
            <w:pPr>
              <w:spacing w:after="0"/>
            </w:pPr>
            <w:r/>
            <w:r>
              <w:rPr>
                <w:sz w:val="20"/>
              </w:rPr>
              <w:t>100</w:t>
            </w:r>
          </w:p>
        </w:tc>
      </w:tr>
      <w:tr>
        <w:tc>
          <w:tcPr>
            <w:tcW w:type="dxa" w:w="4513"/>
            <w:vAlign w:val="center"/>
            <w:shd w:val="clear" w:color="auto" w:fill="F6EFE6"/>
          </w:tcPr>
          <w:p>
            <w:pPr>
              <w:spacing w:after="0"/>
            </w:pPr>
            <w:r/>
            <w:r>
              <w:rPr>
                <w:sz w:val="20"/>
              </w:rPr>
              <w:t>Field</w:t>
            </w:r>
          </w:p>
        </w:tc>
        <w:tc>
          <w:tcPr>
            <w:tcW w:type="dxa" w:w="4513"/>
            <w:vAlign w:val="center"/>
            <w:shd w:val="clear" w:color="auto" w:fill="F6EFE6"/>
          </w:tcPr>
          <w:p>
            <w:pPr>
              <w:spacing w:after="0"/>
            </w:pPr>
            <w:r/>
            <w:r>
              <w:rPr>
                <w:sz w:val="20"/>
              </w:rPr>
              <w:t>100 m × 100 m</w:t>
            </w:r>
          </w:p>
        </w:tc>
      </w:tr>
      <w:tr>
        <w:tc>
          <w:tcPr>
            <w:tcW w:type="dxa" w:w="4513"/>
            <w:vAlign w:val="center"/>
          </w:tcPr>
          <w:p>
            <w:pPr>
              <w:spacing w:after="0"/>
            </w:pPr>
            <w:r/>
            <w:r>
              <w:rPr>
                <w:sz w:val="20"/>
              </w:rPr>
              <w:t>Initial energy</w:t>
            </w:r>
          </w:p>
        </w:tc>
        <w:tc>
          <w:tcPr>
            <w:tcW w:type="dxa" w:w="4513"/>
            <w:vAlign w:val="center"/>
          </w:tcPr>
          <w:p>
            <w:pPr>
              <w:spacing w:after="0"/>
            </w:pPr>
            <w:r/>
            <w:r>
              <w:rPr>
                <w:sz w:val="20"/>
              </w:rPr>
              <w:t>0.5 J</w:t>
            </w:r>
          </w:p>
        </w:tc>
      </w:tr>
      <w:tr>
        <w:tc>
          <w:tcPr>
            <w:tcW w:type="dxa" w:w="4513"/>
            <w:vAlign w:val="center"/>
            <w:shd w:val="clear" w:color="auto" w:fill="F6EFE6"/>
          </w:tcPr>
          <w:p>
            <w:pPr>
              <w:spacing w:after="0"/>
            </w:pPr>
            <w:r/>
            <w:r>
              <w:rPr>
                <w:sz w:val="20"/>
              </w:rPr>
              <w:t>Packet size</w:t>
            </w:r>
          </w:p>
        </w:tc>
        <w:tc>
          <w:tcPr>
            <w:tcW w:type="dxa" w:w="4513"/>
            <w:vAlign w:val="center"/>
            <w:shd w:val="clear" w:color="auto" w:fill="F6EFE6"/>
          </w:tcPr>
          <w:p>
            <w:pPr>
              <w:spacing w:after="0"/>
            </w:pPr>
            <w:r/>
            <w:r>
              <w:rPr>
                <w:sz w:val="20"/>
              </w:rPr>
              <w:t>4,000 bits</w:t>
            </w:r>
          </w:p>
        </w:tc>
      </w:tr>
      <w:tr>
        <w:tc>
          <w:tcPr>
            <w:tcW w:type="dxa" w:w="4513"/>
            <w:vAlign w:val="center"/>
          </w:tcPr>
          <w:p>
            <w:pPr>
              <w:spacing w:after="0"/>
            </w:pPr>
            <w:r/>
            <w:r>
              <w:rPr>
                <w:sz w:val="20"/>
              </w:rPr>
              <w:t>Head probability p</w:t>
            </w:r>
          </w:p>
        </w:tc>
        <w:tc>
          <w:tcPr>
            <w:tcW w:type="dxa" w:w="4513"/>
            <w:vAlign w:val="center"/>
          </w:tcPr>
          <w:p>
            <w:pPr>
              <w:spacing w:after="0"/>
            </w:pPr>
            <w:r/>
            <w:r>
              <w:rPr>
                <w:sz w:val="20"/>
              </w:rPr>
              <w:t>0.05</w:t>
            </w:r>
          </w:p>
        </w:tc>
      </w:tr>
      <w:tr>
        <w:tc>
          <w:tcPr>
            <w:tcW w:type="dxa" w:w="4513"/>
            <w:vAlign w:val="center"/>
            <w:shd w:val="clear" w:color="auto" w:fill="F6EFE6"/>
          </w:tcPr>
          <w:p>
            <w:pPr>
              <w:spacing w:after="0"/>
            </w:pPr>
            <w:r/>
            <w:r>
              <w:rPr>
                <w:sz w:val="20"/>
              </w:rPr>
              <w:t>Runs</w:t>
            </w:r>
          </w:p>
        </w:tc>
        <w:tc>
          <w:tcPr>
            <w:tcW w:type="dxa" w:w="4513"/>
            <w:vAlign w:val="center"/>
            <w:shd w:val="clear" w:color="auto" w:fill="F6EFE6"/>
          </w:tcPr>
          <w:p>
            <w:pPr>
              <w:spacing w:after="0"/>
            </w:pPr>
            <w:r/>
            <w:r>
              <w:rPr>
                <w:sz w:val="20"/>
              </w:rPr>
              <w:t>20</w:t>
            </w:r>
          </w:p>
        </w:tc>
      </w:tr>
    </w:tbl>
    <w:p>
      <w:pPr>
        <w:spacing w:after="80"/>
      </w:pPr>
    </w:p>
    <w:p>
      <w:pPr>
        <w:pStyle w:val="Caption"/>
        <w:jc w:val="center"/>
      </w:pPr>
      <w:r>
        <w:t>TABLE II. Experimental parameters</w:t>
      </w:r>
    </w:p>
    <w:p>
      <w:pPr>
        <w:pStyle w:val="Heading2"/>
      </w:pPr>
      <w:r>
        <w:t>A. Evaluation Metrics</w:t>
      </w:r>
    </w:p>
    <w:p>
      <w:pPr>
        <w:pStyle w:val="ListBullet"/>
      </w:pPr>
      <w:r>
        <w:t>Round when the first node dies (FND)</w:t>
      </w:r>
    </w:p>
    <w:p>
      <w:pPr>
        <w:pStyle w:val="ListBullet"/>
      </w:pPr>
      <w:r>
        <w:t>Round when half the nodes die (HND)</w:t>
      </w:r>
    </w:p>
    <w:p>
      <w:pPr>
        <w:pStyle w:val="ListBullet"/>
      </w:pPr>
      <w:r>
        <w:t>Standard deviation of residual energy</w:t>
      </w:r>
    </w:p>
    <w:p>
      <w:pPr>
        <w:pStyle w:val="Heading1"/>
      </w:pPr>
      <w:r>
        <w:t>V. RESULTS AND DISCUSSION</w:t>
      </w:r>
    </w:p>
    <w:p>
      <w:pPr>
        <w:jc w:val="both"/>
      </w:pPr>
      <w:r>
        <w:t>The proposed scheme delays the death of the first node and spreads energy use more evenly.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256"/>
        <w:gridCol w:w="2256"/>
        <w:gridCol w:w="2256"/>
        <w:gridCol w:w="2256"/>
      </w:tblGrid>
      <w:tr>
        <w:trPr>
          <w:tblHeader/>
        </w:trPr>
        <w:tc>
          <w:tcPr>
            <w:tcW w:type="dxa" w:w="2256"/>
            <w:vAlign w:val="center"/>
            <w:shd w:val="clear" w:color="auto" w:fill="794A05"/>
          </w:tcPr>
          <w:p>
            <w:pPr>
              <w:spacing w:after="0"/>
              <w:jc w:val="left"/>
            </w:pPr>
            <w:r/>
            <w:r>
              <w:rPr>
                <w:b/>
                <w:color w:val="FFFFFF"/>
                <w:sz w:val="20"/>
              </w:rPr>
              <w:t>Protocol</w:t>
            </w:r>
          </w:p>
        </w:tc>
        <w:tc>
          <w:tcPr>
            <w:tcW w:type="dxa" w:w="2256"/>
            <w:vAlign w:val="center"/>
            <w:shd w:val="clear" w:color="auto" w:fill="794A05"/>
          </w:tcPr>
          <w:p>
            <w:pPr>
              <w:spacing w:after="0"/>
              <w:jc w:val="center"/>
            </w:pPr>
            <w:r/>
            <w:r>
              <w:rPr>
                <w:b/>
                <w:color w:val="FFFFFF"/>
                <w:sz w:val="20"/>
              </w:rPr>
              <w:t>FND (round)</w:t>
            </w:r>
          </w:p>
        </w:tc>
        <w:tc>
          <w:tcPr>
            <w:tcW w:type="dxa" w:w="2256"/>
            <w:vAlign w:val="center"/>
            <w:shd w:val="clear" w:color="auto" w:fill="794A05"/>
          </w:tcPr>
          <w:p>
            <w:pPr>
              <w:spacing w:after="0"/>
              <w:jc w:val="center"/>
            </w:pPr>
            <w:r/>
            <w:r>
              <w:rPr>
                <w:b/>
                <w:color w:val="FFFFFF"/>
                <w:sz w:val="20"/>
              </w:rPr>
              <w:t>HND (round)</w:t>
            </w:r>
          </w:p>
        </w:tc>
        <w:tc>
          <w:tcPr>
            <w:tcW w:type="dxa" w:w="2256"/>
            <w:vAlign w:val="center"/>
            <w:shd w:val="clear" w:color="auto" w:fill="794A05"/>
          </w:tcPr>
          <w:p>
            <w:pPr>
              <w:spacing w:after="0"/>
              <w:jc w:val="center"/>
            </w:pPr>
            <w:r/>
            <w:r>
              <w:rPr>
                <w:b/>
                <w:color w:val="FFFFFF"/>
                <w:sz w:val="20"/>
              </w:rPr>
              <w:t>Energy std. dev. (J)</w:t>
            </w:r>
          </w:p>
        </w:tc>
      </w:tr>
      <w:tr>
        <w:tc>
          <w:tcPr>
            <w:tcW w:type="dxa" w:w="2256"/>
            <w:vAlign w:val="center"/>
          </w:tcPr>
          <w:p>
            <w:pPr>
              <w:spacing w:after="0"/>
              <w:jc w:val="left"/>
            </w:pPr>
            <w:r/>
            <w:r>
              <w:rPr>
                <w:sz w:val="20"/>
              </w:rPr>
              <w:t>Baseline random rotation</w:t>
            </w:r>
          </w:p>
        </w:tc>
        <w:tc>
          <w:tcPr>
            <w:tcW w:type="dxa" w:w="2256"/>
            <w:vAlign w:val="center"/>
          </w:tcPr>
          <w:p>
            <w:pPr>
              <w:spacing w:after="0"/>
              <w:jc w:val="center"/>
            </w:pPr>
            <w:r/>
            <w:r>
              <w:rPr>
                <w:sz w:val="20"/>
              </w:rPr>
              <w:t>820</w:t>
            </w:r>
          </w:p>
        </w:tc>
        <w:tc>
          <w:tcPr>
            <w:tcW w:type="dxa" w:w="2256"/>
            <w:vAlign w:val="center"/>
          </w:tcPr>
          <w:p>
            <w:pPr>
              <w:spacing w:after="0"/>
              <w:jc w:val="center"/>
            </w:pPr>
            <w:r/>
            <w:r>
              <w:rPr>
                <w:sz w:val="20"/>
              </w:rPr>
              <w:t>1,240</w:t>
            </w:r>
          </w:p>
        </w:tc>
        <w:tc>
          <w:tcPr>
            <w:tcW w:type="dxa" w:w="2256"/>
            <w:vAlign w:val="center"/>
          </w:tcPr>
          <w:p>
            <w:pPr>
              <w:spacing w:after="0"/>
              <w:jc w:val="center"/>
            </w:pPr>
            <w:r/>
            <w:r>
              <w:rPr>
                <w:sz w:val="20"/>
              </w:rPr>
              <w:t>0.081</w:t>
            </w:r>
          </w:p>
        </w:tc>
      </w:tr>
      <w:tr>
        <w:tc>
          <w:tcPr>
            <w:tcW w:type="dxa" w:w="2256"/>
            <w:vAlign w:val="center"/>
            <w:shd w:val="clear" w:color="auto" w:fill="F6EFE6"/>
          </w:tcPr>
          <w:p>
            <w:pPr>
              <w:spacing w:after="0"/>
              <w:jc w:val="left"/>
            </w:pPr>
            <w:r/>
            <w:r>
              <w:rPr>
                <w:sz w:val="20"/>
              </w:rPr>
              <w:t>Energy-weighted</w:t>
            </w:r>
          </w:p>
        </w:tc>
        <w:tc>
          <w:tcPr>
            <w:tcW w:type="dxa" w:w="2256"/>
            <w:vAlign w:val="center"/>
            <w:shd w:val="clear" w:color="auto" w:fill="F6EFE6"/>
          </w:tcPr>
          <w:p>
            <w:pPr>
              <w:spacing w:after="0"/>
              <w:jc w:val="center"/>
            </w:pPr>
            <w:r/>
            <w:r>
              <w:rPr>
                <w:sz w:val="20"/>
              </w:rPr>
              <w:t>960</w:t>
            </w:r>
          </w:p>
        </w:tc>
        <w:tc>
          <w:tcPr>
            <w:tcW w:type="dxa" w:w="2256"/>
            <w:vAlign w:val="center"/>
            <w:shd w:val="clear" w:color="auto" w:fill="F6EFE6"/>
          </w:tcPr>
          <w:p>
            <w:pPr>
              <w:spacing w:after="0"/>
              <w:jc w:val="center"/>
            </w:pPr>
            <w:r/>
            <w:r>
              <w:rPr>
                <w:sz w:val="20"/>
              </w:rPr>
              <w:t>1,330</w:t>
            </w:r>
          </w:p>
        </w:tc>
        <w:tc>
          <w:tcPr>
            <w:tcW w:type="dxa" w:w="2256"/>
            <w:vAlign w:val="center"/>
            <w:shd w:val="clear" w:color="auto" w:fill="F6EFE6"/>
          </w:tcPr>
          <w:p>
            <w:pPr>
              <w:spacing w:after="0"/>
              <w:jc w:val="center"/>
            </w:pPr>
            <w:r/>
            <w:r>
              <w:rPr>
                <w:sz w:val="20"/>
              </w:rPr>
              <w:t>0.064</w:t>
            </w:r>
          </w:p>
        </w:tc>
      </w:tr>
      <w:tr>
        <w:tc>
          <w:tcPr>
            <w:tcW w:type="dxa" w:w="2256"/>
            <w:vAlign w:val="center"/>
          </w:tcPr>
          <w:p>
            <w:pPr>
              <w:spacing w:after="0"/>
              <w:jc w:val="left"/>
            </w:pPr>
            <w:r/>
            <w:r>
              <w:rPr>
                <w:sz w:val="20"/>
              </w:rPr>
              <w:t>Proposed</w:t>
            </w:r>
          </w:p>
        </w:tc>
        <w:tc>
          <w:tcPr>
            <w:tcW w:type="dxa" w:w="2256"/>
            <w:vAlign w:val="center"/>
          </w:tcPr>
          <w:p>
            <w:pPr>
              <w:spacing w:after="0"/>
              <w:jc w:val="center"/>
            </w:pPr>
            <w:r/>
            <w:r>
              <w:rPr>
                <w:sz w:val="20"/>
              </w:rPr>
              <w:t>1,090</w:t>
            </w:r>
          </w:p>
        </w:tc>
        <w:tc>
          <w:tcPr>
            <w:tcW w:type="dxa" w:w="2256"/>
            <w:vAlign w:val="center"/>
          </w:tcPr>
          <w:p>
            <w:pPr>
              <w:spacing w:after="0"/>
              <w:jc w:val="center"/>
            </w:pPr>
            <w:r/>
            <w:r>
              <w:rPr>
                <w:sz w:val="20"/>
              </w:rPr>
              <w:t>1,410</w:t>
            </w:r>
          </w:p>
        </w:tc>
        <w:tc>
          <w:tcPr>
            <w:tcW w:type="dxa" w:w="2256"/>
            <w:vAlign w:val="center"/>
          </w:tcPr>
          <w:p>
            <w:pPr>
              <w:spacing w:after="0"/>
              <w:jc w:val="center"/>
            </w:pPr>
            <w:r/>
            <w:r>
              <w:rPr>
                <w:sz w:val="20"/>
              </w:rPr>
              <w:t>0.047</w:t>
            </w:r>
          </w:p>
        </w:tc>
      </w:tr>
    </w:tbl>
    <w:p>
      <w:pPr>
        <w:spacing w:after="80"/>
      </w:pPr>
    </w:p>
    <w:p>
      <w:pPr>
        <w:pStyle w:val="Caption"/>
        <w:jc w:val="center"/>
      </w:pPr>
      <w:r>
        <w:t>TABLE III. Comparison with baseline methods (sample data)</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026"/>
      </w:tblGrid>
      <w:tr>
        <w:trPr>
          <w:trHeight w:val="3118" w:hRule="exact"/>
        </w:trPr>
        <w:tc>
          <w:tcPr>
            <w:tcW w:type="dxa" w:w="9026"/>
            <w:shd w:val="clear" w:color="auto" w:fill="F6EFE6"/>
            <w:vAlign w:val="center"/>
          </w:tcPr>
          <w:p>
            <w:pPr>
              <w:jc w:val="center"/>
            </w:pPr>
            <w:r>
              <w:rPr>
                <w:color w:val="6B7079"/>
                <w:sz w:val="20"/>
              </w:rPr>
              <w:t>Chart placeholder — insert a graph of your results</w:t>
            </w:r>
          </w:p>
        </w:tc>
      </w:tr>
    </w:tbl>
    <w:p>
      <w:pPr>
        <w:pStyle w:val="Caption"/>
        <w:spacing w:before="80"/>
        <w:jc w:val="center"/>
      </w:pPr>
      <w:r>
        <w:t>Fig. 2. Number of alive nodes per round (sample data)</w:t>
      </w:r>
    </w:p>
    <w:p>
      <w:pPr>
        <w:jc w:val="both"/>
      </w:pPr>
      <w:r>
        <w:t>Considering distance reduced the number of heads far from the base station, which saves energy on long transmissions.</w:t>
      </w:r>
    </w:p>
    <w:p>
      <w:pPr>
        <w:jc w:val="both"/>
      </w:pPr>
      <w:r>
        <w:t>The improvement was smaller in very dense networks, where distances are short for all nodes.</w:t>
      </w:r>
    </w:p>
    <w:p>
      <w:pPr>
        <w:pStyle w:val="Heading2"/>
      </w:pPr>
      <w:r>
        <w:t>A. Ablation Study</w:t>
      </w:r>
    </w:p>
    <w:p>
      <w:pPr>
        <w:jc w:val="both"/>
      </w:pPr>
      <w:r>
        <w:t>To understand the contribution of each component, we removed one component at a time and repeated the evaluation. Table IV shows that every component contributes to the final result, with the largest drop observed when the distance factor is removed.</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6017"/>
        <w:gridCol w:w="3008"/>
      </w:tblGrid>
      <w:tr>
        <w:trPr>
          <w:tblHeader/>
        </w:trPr>
        <w:tc>
          <w:tcPr>
            <w:tcW w:type="dxa" w:w="6017"/>
            <w:vAlign w:val="center"/>
            <w:shd w:val="clear" w:color="auto" w:fill="794A05"/>
          </w:tcPr>
          <w:p>
            <w:pPr>
              <w:spacing w:after="0"/>
              <w:jc w:val="left"/>
            </w:pPr>
            <w:r/>
            <w:r>
              <w:rPr>
                <w:b/>
                <w:color w:val="FFFFFF"/>
                <w:sz w:val="20"/>
              </w:rPr>
              <w:t>Variant</w:t>
            </w:r>
          </w:p>
        </w:tc>
        <w:tc>
          <w:tcPr>
            <w:tcW w:type="dxa" w:w="3009"/>
            <w:vAlign w:val="center"/>
            <w:shd w:val="clear" w:color="auto" w:fill="794A05"/>
          </w:tcPr>
          <w:p>
            <w:pPr>
              <w:spacing w:after="0"/>
              <w:jc w:val="center"/>
            </w:pPr>
            <w:r/>
            <w:r>
              <w:rPr>
                <w:b/>
                <w:color w:val="FFFFFF"/>
                <w:sz w:val="20"/>
              </w:rPr>
              <w:t>FND (round)</w:t>
            </w:r>
          </w:p>
        </w:tc>
      </w:tr>
      <w:tr>
        <w:tc>
          <w:tcPr>
            <w:tcW w:type="dxa" w:w="6017"/>
            <w:vAlign w:val="center"/>
          </w:tcPr>
          <w:p>
            <w:pPr>
              <w:spacing w:after="0"/>
              <w:jc w:val="left"/>
            </w:pPr>
            <w:r/>
            <w:r>
              <w:rPr>
                <w:sz w:val="20"/>
              </w:rPr>
              <w:t>Full model</w:t>
            </w:r>
          </w:p>
        </w:tc>
        <w:tc>
          <w:tcPr>
            <w:tcW w:type="dxa" w:w="3009"/>
            <w:vAlign w:val="center"/>
          </w:tcPr>
          <w:p>
            <w:pPr>
              <w:spacing w:after="0"/>
              <w:jc w:val="center"/>
            </w:pPr>
            <w:r/>
            <w:r>
              <w:rPr>
                <w:sz w:val="20"/>
              </w:rPr>
              <w:t>1,090</w:t>
            </w:r>
          </w:p>
        </w:tc>
      </w:tr>
      <w:tr>
        <w:tc>
          <w:tcPr>
            <w:tcW w:type="dxa" w:w="6017"/>
            <w:vAlign w:val="center"/>
            <w:shd w:val="clear" w:color="auto" w:fill="F6EFE6"/>
          </w:tcPr>
          <w:p>
            <w:pPr>
              <w:spacing w:after="0"/>
              <w:jc w:val="left"/>
            </w:pPr>
            <w:r/>
            <w:r>
              <w:rPr>
                <w:sz w:val="20"/>
              </w:rPr>
              <w:t>Without distance factor</w:t>
            </w:r>
          </w:p>
        </w:tc>
        <w:tc>
          <w:tcPr>
            <w:tcW w:type="dxa" w:w="3009"/>
            <w:vAlign w:val="center"/>
            <w:shd w:val="clear" w:color="auto" w:fill="F6EFE6"/>
          </w:tcPr>
          <w:p>
            <w:pPr>
              <w:spacing w:after="0"/>
              <w:jc w:val="center"/>
            </w:pPr>
            <w:r/>
            <w:r>
              <w:rPr>
                <w:sz w:val="20"/>
              </w:rPr>
              <w:t>985</w:t>
            </w:r>
          </w:p>
        </w:tc>
      </w:tr>
      <w:tr>
        <w:tc>
          <w:tcPr>
            <w:tcW w:type="dxa" w:w="6017"/>
            <w:vAlign w:val="center"/>
          </w:tcPr>
          <w:p>
            <w:pPr>
              <w:spacing w:after="0"/>
              <w:jc w:val="left"/>
            </w:pPr>
            <w:r/>
            <w:r>
              <w:rPr>
                <w:sz w:val="20"/>
              </w:rPr>
              <w:t>Without pre-processing</w:t>
            </w:r>
          </w:p>
        </w:tc>
        <w:tc>
          <w:tcPr>
            <w:tcW w:type="dxa" w:w="3009"/>
            <w:vAlign w:val="center"/>
          </w:tcPr>
          <w:p>
            <w:pPr>
              <w:spacing w:after="0"/>
              <w:jc w:val="center"/>
            </w:pPr>
            <w:r/>
            <w:r>
              <w:rPr>
                <w:sz w:val="20"/>
              </w:rPr>
              <w:t>1,020</w:t>
            </w:r>
          </w:p>
        </w:tc>
      </w:tr>
      <w:tr>
        <w:tc>
          <w:tcPr>
            <w:tcW w:type="dxa" w:w="6017"/>
            <w:vAlign w:val="center"/>
            <w:shd w:val="clear" w:color="auto" w:fill="F6EFE6"/>
          </w:tcPr>
          <w:p>
            <w:pPr>
              <w:spacing w:after="0"/>
              <w:jc w:val="left"/>
            </w:pPr>
            <w:r/>
            <w:r>
              <w:rPr>
                <w:sz w:val="20"/>
              </w:rPr>
              <w:t>Baseline only</w:t>
            </w:r>
          </w:p>
        </w:tc>
        <w:tc>
          <w:tcPr>
            <w:tcW w:type="dxa" w:w="3009"/>
            <w:vAlign w:val="center"/>
            <w:shd w:val="clear" w:color="auto" w:fill="F6EFE6"/>
          </w:tcPr>
          <w:p>
            <w:pPr>
              <w:spacing w:after="0"/>
              <w:jc w:val="center"/>
            </w:pPr>
            <w:r/>
            <w:r>
              <w:rPr>
                <w:sz w:val="20"/>
              </w:rPr>
              <w:t>820</w:t>
            </w:r>
          </w:p>
        </w:tc>
      </w:tr>
    </w:tbl>
    <w:p>
      <w:pPr>
        <w:spacing w:after="80"/>
      </w:pPr>
    </w:p>
    <w:p>
      <w:pPr>
        <w:pStyle w:val="Caption"/>
        <w:jc w:val="center"/>
      </w:pPr>
      <w:r>
        <w:t>TABLE IV. Ablation results (sample data)</w:t>
      </w:r>
    </w:p>
    <w:p>
      <w:pPr>
        <w:pStyle w:val="Heading2"/>
      </w:pPr>
      <w:r>
        <w:t>B. Limitations</w:t>
      </w:r>
    </w:p>
    <w:p>
      <w:pPr>
        <w:pStyle w:val="ListBullet"/>
      </w:pPr>
      <w:r>
        <w:t>Results are from simulation only.</w:t>
      </w:r>
    </w:p>
    <w:p>
      <w:pPr>
        <w:pStyle w:val="ListBullet"/>
      </w:pPr>
      <w:r>
        <w:t>A single-hop model was assumed.</w:t>
      </w:r>
    </w:p>
    <w:p>
      <w:pPr>
        <w:pStyle w:val="ListBullet"/>
      </w:pPr>
      <w:r>
        <w:t>Node mobility was not considered.</w:t>
      </w:r>
    </w:p>
    <w:p>
      <w:pPr>
        <w:pStyle w:val="Heading1"/>
      </w:pPr>
      <w:r>
        <w:t>VI. CONCLUSION AND FUTURE WORK</w:t>
      </w:r>
    </w:p>
    <w:p>
      <w:pPr>
        <w:jc w:val="both"/>
      </w:pPr>
      <w:r>
        <w:t>The proposed rotation scheme extends network lifetime and balances energy consumption in clustered sensor networks.</w:t>
      </w:r>
    </w:p>
    <w:p>
      <w:pPr>
        <w:jc w:val="both"/>
      </w:pPr>
      <w:r>
        <w:t>Future work will test the scheme on hardware and extend it to multi-hop and mobile scenarios.</w:t>
      </w:r>
    </w:p>
    <w:p>
      <w:pPr>
        <w:pStyle w:val="Heading1"/>
      </w:pPr>
      <w:r>
        <w:t>Acknowledgment</w:t>
      </w:r>
    </w:p>
    <w:p>
      <w:pPr>
        <w:jc w:val="both"/>
      </w:pPr>
      <w:r>
        <w:t>The authors thank the department and the participants who helped with data collection. Replace this paragraph with your own acknowledgment, including any funding support.</w:t>
      </w:r>
    </w:p>
    <w:p>
      <w:pPr>
        <w:pStyle w:val="Heading1"/>
      </w:pPr>
      <w:r>
        <w:t>References</w:t>
      </w:r>
    </w:p>
    <w:p>
      <w:pPr>
        <w:spacing w:after="60"/>
      </w:pPr>
      <w:r>
        <w:rPr>
          <w:sz w:val="20"/>
        </w:rPr>
        <w:t>[1] A. Author, B. Author, and C. Author, “Title of the journal article,” Journal Name, vol. 10, no. 2, pp. 101–112, 2023.</w:t>
      </w:r>
    </w:p>
    <w:p>
      <w:pPr>
        <w:spacing w:after="60"/>
      </w:pPr>
      <w:r>
        <w:rPr>
          <w:sz w:val="20"/>
        </w:rPr>
        <w:t>[2] D. Author and E. Author, “Title of the conference paper,” in Proc. Int. Conf. on Topic, City, 2022, pp. 45–50.</w:t>
      </w:r>
    </w:p>
    <w:p>
      <w:pPr>
        <w:spacing w:after="60"/>
      </w:pPr>
      <w:r>
        <w:rPr>
          <w:sz w:val="20"/>
        </w:rPr>
        <w:t>[3] F. Author, Title of the Book, 3rd ed. City: Publisher, 2021.</w:t>
      </w:r>
    </w:p>
    <w:p>
      <w:pPr>
        <w:spacing w:after="60"/>
      </w:pPr>
      <w:r>
        <w:rPr>
          <w:sz w:val="20"/>
        </w:rPr>
        <w:t>[4] G. Author et al., “Title of the article,” Transactions on Topic, vol. 7, pp. 220–231, 2024.</w:t>
      </w:r>
    </w:p>
    <w:p>
      <w:pPr>
        <w:spacing w:after="60"/>
      </w:pPr>
      <w:r>
        <w:rPr>
          <w:sz w:val="20"/>
        </w:rPr>
        <w:t>[5] H. Author, “Title of the thesis,” Ph.D. dissertation, Dept. Name, University Name, City, 2020.</w:t>
      </w:r>
    </w:p>
    <w:p>
      <w:pPr>
        <w:spacing w:after="60"/>
      </w:pPr>
      <w:r>
        <w:rPr>
          <w:sz w:val="20"/>
        </w:rPr>
        <w:t>[6] I. Author and J. Author, “Title of the preprint,” arXiv preprint, 2024.</w:t>
      </w:r>
    </w:p>
    <w:p>
      <w:pPr>
        <w:spacing w:after="60"/>
      </w:pPr>
      <w:r>
        <w:rPr>
          <w:sz w:val="20"/>
        </w:rPr>
        <w:t>[7] K. Author, “Title of the dataset or software,” Version 2.1, 2023. [Online]. Available: URL</w:t>
      </w:r>
    </w:p>
    <w:p>
      <w:pPr>
        <w:spacing w:after="60"/>
      </w:pPr>
      <w:r>
        <w:rPr>
          <w:sz w:val="20"/>
        </w:rPr>
        <w:t>[8] L. Author, M. Author, “Title of the survey paper,” ACM Computing Surveys, vol. 55, 2023.</w:t>
      </w:r>
    </w:p>
    <w:sectPr w:rsidR="00FC693F" w:rsidRPr="0006063C" w:rsidSect="00034616">
      <w:headerReference w:type="default" r:id="rId9"/>
      <w:footerReference w:type="default" r:id="rId10"/>
      <w:pgSz w:w="11906" w:h="16838"/>
      <w:pgMar w:top="1368" w:right="1440" w:bottom="1368" w:left="1440"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BCCCF"/>
      </w:pBdr>
    </w:pPr>
    <w:r/>
    <w:r>
      <w:rPr>
        <w:caps w:val="0"/>
        <w:color w:val="6B7079"/>
        <w:sz w:val="17"/>
      </w:rPr>
      <w:t>Energy-aware clustering for WSNs</w:t>
    </w:r>
    <w:r>
      <w:rPr>
        <w:color w:val="6B7079"/>
        <w:sz w:val="17"/>
      </w:rPr>
      <w:tab/>
      <w:t>Template · Journal of Network Engineering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line="264" w:lineRule="auto"/>
      <w:ind w:left="170"/>
      <w:outlineLvl w:val="0"/>
      <w:shd w:val="clear" w:color="auto" w:fill="EADCC8"/>
      <w:pBdr>
        <w:left w:val="single" w:sz="36" w:space="8" w:color="A16207"/>
      </w:pBdr>
    </w:pPr>
    <w:rPr>
      <w:rFonts w:ascii="EB Garamond" w:hAnsi="EB Garamond" w:cs="EB Garamond" w:eastAsia="EB Garamond"/>
      <w:b w:val="0"/>
      <w:bCs/>
      <w:i w:val="0"/>
      <w:caps/>
      <w:color w:val="111827"/>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EB Garamond" w:hAnsi="EB Garamond" w:cs="EB Garamond" w:eastAsia="EB Garamond"/>
      <w:b/>
      <w:bCs/>
      <w:i w:val="0"/>
      <w:color w:val="A16207"/>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EB Garamond" w:hAnsi="EB Garamond" w:cs="EB Garamond" w:eastAsia="EB Garamond"/>
      <w:b/>
      <w:bCs/>
      <w:i w:val="0"/>
      <w:color w:val="11182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EB Garamond" w:hAnsi="EB Garamond" w:cs="EB Garamond" w:eastAsia="EB Garamond"/>
      <w:b w:val="0"/>
      <w:color w:val="11182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EB Garamond" w:hAnsi="EB Garamond" w:cs="EB Garamond" w:eastAsia="EB Garamond"/>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EB Garamond" w:hAnsi="EB Garamond" w:cs="EB Garamond" w:eastAsia="EB Garamond"/>
      <w:b/>
      <w:sz w:val="24"/>
      <w:szCs w:val="24"/>
    </w:rPr>
  </w:style>
  <w:style w:type="paragraph" w:customStyle="1" w:styleId="TOC2">
    <w:name w:val="TOC 2"/>
    <w:basedOn w:val="Normal"/>
    <w:pPr>
      <w:tabs>
        <w:tab w:pos="9026"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