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/>
        <w:jc w:val="center"/>
      </w:pPr>
      <w:r>
        <w:rPr>
          <w:sz w:val="38"/>
        </w:rPr>
        <w:t>Sentiment Analysis of Code-Mixed Hindi–English Social Media Text Using Transformer Models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Sahil Arora</w:t>
            </w:r>
          </w:p>
          <w:p>
            <w:pPr>
              <w:spacing w:after="0"/>
              <w:jc w:val="center"/>
            </w:pPr>
            <w:r>
              <w:rPr>
                <w:color w:val="74777A"/>
                <w:sz w:val="18"/>
              </w:rPr>
              <w:t>Dept. of CSE, Your Engineering College, Chandigarh</w:t>
            </w:r>
          </w:p>
          <w:p>
            <w:pPr>
              <w:spacing w:after="0"/>
              <w:jc w:val="center"/>
            </w:pPr>
            <w:r>
              <w:rPr>
                <w:color w:val="74777A"/>
                <w:sz w:val="18"/>
              </w:rPr>
              <w:t>sahil@youremail.edu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Nidhi Bansal</w:t>
            </w:r>
          </w:p>
          <w:p>
            <w:pPr>
              <w:spacing w:after="0"/>
              <w:jc w:val="center"/>
            </w:pPr>
            <w:r>
              <w:rPr>
                <w:color w:val="74777A"/>
                <w:sz w:val="18"/>
              </w:rPr>
              <w:t>Dept. of CSE, Your Engineering College, Chandigarh</w:t>
            </w:r>
          </w:p>
          <w:p>
            <w:pPr>
              <w:spacing w:after="0"/>
              <w:jc w:val="center"/>
            </w:pPr>
            <w:r>
              <w:rPr>
                <w:color w:val="74777A"/>
                <w:sz w:val="18"/>
              </w:rPr>
              <w:t>nidhi@youremail.edu</w:t>
            </w:r>
          </w:p>
        </w:tc>
      </w:tr>
    </w:tbl>
    <w:p>
      <w:pPr>
        <w:spacing w:after="160"/>
      </w:pPr>
    </w:p>
    <w:p>
      <w:pPr>
        <w:jc w:val="both"/>
      </w:pPr>
      <w:r>
        <w:rPr>
          <w:b/>
          <w:i/>
        </w:rPr>
        <w:t xml:space="preserve">Abstract— </w:t>
      </w:r>
      <w:r>
        <w:t>Social media users in India frequently mix Hindi and English in the same sentence, often writing Hindi in Roman script. Such code-mixed text is difficult for sentiment models trained on a single language. This paper evaluates transformer models fine-tuned on a labelled code-mixed corpus and proposes a simple transliteration-aware pre-processing step. Results show that multilingual transformers outperform classical baselines, and that normalising spelling variants improves performance further. Values in this template are sample figures.</w:t>
      </w:r>
    </w:p>
    <w:p>
      <w:pPr>
        <w:jc w:val="both"/>
      </w:pPr>
      <w:r>
        <w:rPr>
          <w:b/>
          <w:i/>
        </w:rPr>
        <w:t xml:space="preserve">Index Terms— </w:t>
      </w:r>
      <w:r>
        <w:rPr>
          <w:i/>
        </w:rPr>
        <w:t>code-mixing, sentiment analysis, Hinglish, transformers, natural language processing</w:t>
      </w:r>
    </w:p>
    <w:p>
      <w:pPr>
        <w:pStyle w:val="Caption"/>
        <w:jc w:val="center"/>
      </w:pPr>
      <w:r>
        <w:t>This is a template: all data, results and references are placeholders for the author to replace.</w:t>
      </w:r>
    </w:p>
    <w:p>
      <w:pPr>
        <w:pStyle w:val="Heading1"/>
      </w:pPr>
      <w:r>
        <w:t>I. INTRODUCTION</w:t>
      </w:r>
    </w:p>
    <w:p>
      <w:pPr>
        <w:jc w:val="both"/>
      </w:pPr>
      <w:r>
        <w:t>Code-mixing — switching between languages within a sentence — is common in informal communication in multilingual societies. A comment such as “movie was too good, ekdum paisa vasool” combines English and Romanised Hindi, which confuses models trained on either language alone.</w:t>
      </w:r>
    </w:p>
    <w:p>
      <w:pPr>
        <w:jc w:val="both"/>
      </w:pPr>
      <w:r>
        <w:t>Businesses, researchers and public bodies analyse social media sentiment to understand opinions. Accurate analysis of code-mixed text is therefore useful, but the lack of standard spelling and labelled data makes the task challenging.</w:t>
      </w:r>
    </w:p>
    <w:p>
      <w:pPr>
        <w:jc w:val="both"/>
      </w:pPr>
      <w:r>
        <w:t>The main contributions of this paper are as follows:</w:t>
      </w:r>
    </w:p>
    <w:p>
      <w:pPr>
        <w:pStyle w:val="ListBullet"/>
      </w:pPr>
      <w:r>
        <w:t>A comparison of classical and transformer-based models on code-mixed sentiment data.</w:t>
      </w:r>
    </w:p>
    <w:p>
      <w:pPr>
        <w:pStyle w:val="ListBullet"/>
      </w:pPr>
      <w:r>
        <w:t>A transliteration-aware normalisation step for common spelling variants.</w:t>
      </w:r>
    </w:p>
    <w:p>
      <w:pPr>
        <w:pStyle w:val="ListBullet"/>
      </w:pPr>
      <w:r>
        <w:t>An error analysis highlighting sarcasm and spelling as major challenges.</w:t>
      </w:r>
    </w:p>
    <w:p>
      <w:pPr>
        <w:jc w:val="both"/>
      </w:pPr>
      <w:r>
        <w:t>The rest of the paper is organised as follows. Section II reviews related work, Section III describes the proposed fine-tuning approach, Section IV presents the experimental setup, Section V reports and discusses the results, and Section VI concludes the paper.</w:t>
      </w:r>
    </w:p>
    <w:p>
      <w:pPr>
        <w:pStyle w:val="Heading1"/>
      </w:pPr>
      <w:r>
        <w:t>II. RELATED WORK</w:t>
      </w:r>
    </w:p>
    <w:p>
      <w:pPr>
        <w:jc w:val="both"/>
      </w:pPr>
      <w:r>
        <w:t>Shared tasks on code-mixed sentiment have produced benchmark datasets and baselines [1].</w:t>
      </w:r>
    </w:p>
    <w:p>
      <w:pPr>
        <w:jc w:val="both"/>
      </w:pPr>
      <w:r>
        <w:t>Character-level models handle spelling variation better than word-level models [2].</w:t>
      </w:r>
    </w:p>
    <w:p>
      <w:pPr>
        <w:jc w:val="both"/>
      </w:pPr>
      <w:r>
        <w:t>Multilingual transformers pre-trained on many languages transfer reasonably well to code-mixed text [3].</w:t>
      </w:r>
    </w:p>
    <w:p>
      <w:pPr>
        <w:jc w:val="both"/>
      </w:pPr>
      <w:r>
        <w:t>Normalisation and back-transliteration have been explored to reduce vocabulary sparsity [4].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12"/>
        <w:gridCol w:w="2969"/>
        <w:gridCol w:w="2375"/>
        <w:gridCol w:w="2969"/>
      </w:tblGrid>
      <w:tr>
        <w:trPr>
          <w:tblHeader/>
        </w:trPr>
        <w:tc>
          <w:tcPr>
            <w:tcW w:type="dxa" w:w="713"/>
            <w:vAlign w:val="center"/>
            <w:shd w:val="clear" w:color="auto" w:fill="374151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Ref.</w:t>
            </w:r>
          </w:p>
        </w:tc>
        <w:tc>
          <w:tcPr>
            <w:tcW w:type="dxa" w:w="2969"/>
            <w:vAlign w:val="center"/>
            <w:shd w:val="clear" w:color="auto" w:fill="374151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Approach</w:t>
            </w:r>
          </w:p>
        </w:tc>
        <w:tc>
          <w:tcPr>
            <w:tcW w:type="dxa" w:w="2375"/>
            <w:vAlign w:val="center"/>
            <w:shd w:val="clear" w:color="auto" w:fill="374151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Data</w:t>
            </w:r>
          </w:p>
        </w:tc>
        <w:tc>
          <w:tcPr>
            <w:tcW w:type="dxa" w:w="2969"/>
            <w:vAlign w:val="center"/>
            <w:shd w:val="clear" w:color="auto" w:fill="374151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Limitation</w:t>
            </w:r>
          </w:p>
        </w:tc>
      </w:tr>
      <w:tr>
        <w:tc>
          <w:tcPr>
            <w:tcW w:type="dxa" w:w="7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[1]</w:t>
            </w:r>
          </w:p>
        </w:tc>
        <w:tc>
          <w:tcPr>
            <w:tcW w:type="dxa" w:w="296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n-gram + SVM</w:t>
            </w:r>
          </w:p>
        </w:tc>
        <w:tc>
          <w:tcPr>
            <w:tcW w:type="dxa" w:w="23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Shared-task data</w:t>
            </w:r>
          </w:p>
        </w:tc>
        <w:tc>
          <w:tcPr>
            <w:tcW w:type="dxa" w:w="296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Spelling variation</w:t>
            </w:r>
          </w:p>
        </w:tc>
      </w:tr>
      <w:tr>
        <w:tc>
          <w:tcPr>
            <w:tcW w:type="dxa" w:w="713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[2]</w:t>
            </w:r>
          </w:p>
        </w:tc>
        <w:tc>
          <w:tcPr>
            <w:tcW w:type="dxa" w:w="2969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Char-CNN</w:t>
            </w:r>
          </w:p>
        </w:tc>
        <w:tc>
          <w:tcPr>
            <w:tcW w:type="dxa" w:w="2375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Tweets</w:t>
            </w:r>
          </w:p>
        </w:tc>
        <w:tc>
          <w:tcPr>
            <w:tcW w:type="dxa" w:w="2969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Short context</w:t>
            </w:r>
          </w:p>
        </w:tc>
      </w:tr>
      <w:tr>
        <w:tc>
          <w:tcPr>
            <w:tcW w:type="dxa" w:w="7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[3]</w:t>
            </w:r>
          </w:p>
        </w:tc>
        <w:tc>
          <w:tcPr>
            <w:tcW w:type="dxa" w:w="296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Multilingual BERT</w:t>
            </w:r>
          </w:p>
        </w:tc>
        <w:tc>
          <w:tcPr>
            <w:tcW w:type="dxa" w:w="2375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Mixed corpus</w:t>
            </w:r>
          </w:p>
        </w:tc>
        <w:tc>
          <w:tcPr>
            <w:tcW w:type="dxa" w:w="296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Romanised Hindi gaps</w:t>
            </w:r>
          </w:p>
        </w:tc>
      </w:tr>
      <w:tr>
        <w:tc>
          <w:tcPr>
            <w:tcW w:type="dxa" w:w="713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[4]</w:t>
            </w:r>
          </w:p>
        </w:tc>
        <w:tc>
          <w:tcPr>
            <w:tcW w:type="dxa" w:w="2969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Back-transliteration</w:t>
            </w:r>
          </w:p>
        </w:tc>
        <w:tc>
          <w:tcPr>
            <w:tcW w:type="dxa" w:w="2375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Comments</w:t>
            </w:r>
          </w:p>
        </w:tc>
        <w:tc>
          <w:tcPr>
            <w:tcW w:type="dxa" w:w="2969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Error propagation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I. Summary of related work</w:t>
      </w:r>
    </w:p>
    <w:p>
      <w:pPr>
        <w:pStyle w:val="Heading1"/>
      </w:pPr>
      <w:r>
        <w:t>III. PROPOSED FINE-TUNING APPROACH</w:t>
      </w:r>
    </w:p>
    <w:p>
      <w:pPr>
        <w:jc w:val="both"/>
      </w:pPr>
      <w:r>
        <w:t>Text is first cleaned by removing URLs and user mentions and by expanding common abbreviations. A dictionary of spelling variants maps forms such as “bahut”, “bohot” and “bht” to a single form.</w:t>
      </w:r>
    </w:p>
    <w:p>
      <w:pPr>
        <w:jc w:val="both"/>
      </w:pPr>
      <w:r>
        <w:t>The normalised text is tokenised and passed to a multilingual transformer, which is fine-tuned with a classification head for three classes: positive, negative and neutral.</w:t>
      </w:r>
    </w:p>
    <w:p>
      <w:pPr>
        <w:pStyle w:val="Heading2"/>
      </w:pPr>
      <w:r>
        <w:t>A. Overview</w:t>
      </w:r>
    </w:p>
    <w:p>
      <w:pPr>
        <w:jc w:val="both"/>
      </w:pPr>
      <w:r>
        <w:t>The pipeline consists of cleaning, variant normalisation, tokenisation, a transformer encoder and a softmax classifier.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</w:tblPr>
      <w:tblGrid>
        <w:gridCol w:w="9026"/>
      </w:tblGrid>
      <w:tr>
        <w:trPr>
          <w:trHeight w:val="3118" w:hRule="exact"/>
        </w:trPr>
        <w:tc>
          <w:tcPr>
            <w:tcW w:type="dxa" w:w="9026"/>
            <w:shd w:val="clear" w:color="auto" w:fill="EBECEE"/>
            <w:vAlign w:val="center"/>
          </w:tcPr>
          <w:p>
            <w:pPr>
              <w:jc w:val="center"/>
            </w:pPr>
            <w:r>
              <w:rPr>
                <w:color w:val="74777A"/>
                <w:sz w:val="20"/>
              </w:rPr>
              <w:t>Figure placeholder — block diagram of the proposed fine-tuning approach</w:t>
            </w:r>
          </w:p>
        </w:tc>
      </w:tr>
    </w:tbl>
    <w:p>
      <w:pPr>
        <w:pStyle w:val="Caption"/>
        <w:spacing w:before="80"/>
        <w:jc w:val="center"/>
      </w:pPr>
      <w:r>
        <w:t>Fig. 1. Overview of the proposed fine-tuning approach</w:t>
      </w:r>
    </w:p>
    <w:p>
      <w:pPr>
        <w:pStyle w:val="Heading2"/>
      </w:pPr>
      <w:r>
        <w:t>B. Algorithm</w:t>
      </w:r>
    </w:p>
    <w:p>
      <w:pPr>
        <w:pStyle w:val="ListNumber"/>
      </w:pPr>
      <w:r>
        <w:t>Clean the text and remove noise.</w:t>
      </w:r>
    </w:p>
    <w:p>
      <w:pPr>
        <w:pStyle w:val="ListNumber"/>
      </w:pPr>
      <w:r>
        <w:t>Normalise spelling variants with the variant dictionary.</w:t>
      </w:r>
    </w:p>
    <w:p>
      <w:pPr>
        <w:pStyle w:val="ListNumber"/>
      </w:pPr>
      <w:r>
        <w:t>Tokenise with the model’s tokenizer.</w:t>
      </w:r>
    </w:p>
    <w:p>
      <w:pPr>
        <w:pStyle w:val="ListNumber"/>
      </w:pPr>
      <w:r>
        <w:t>Fine-tune the transformer for three-class classification.</w:t>
      </w:r>
    </w:p>
    <w:p>
      <w:pPr>
        <w:pStyle w:val="ListNumber"/>
      </w:pPr>
      <w:r>
        <w:t>Evaluate on the held-out test set.</w:t>
      </w:r>
    </w:p>
    <w:p>
      <w:pPr>
        <w:pStyle w:val="Heading1"/>
      </w:pPr>
      <w:r>
        <w:t>IV. EXPERIMENTAL SETUP</w:t>
      </w:r>
    </w:p>
    <w:p>
      <w:pPr>
        <w:jc w:val="both"/>
      </w:pPr>
      <w:r>
        <w:t>Experiments used a labelled corpus of code-mixed comments (sample size: 15,000; positive 38%, negative 32%, neutral 30%). Models were fine-tuned for four epochs with a learning rate of 2e-5.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vAlign w:val="center"/>
            <w:shd w:val="clear" w:color="auto" w:fill="374151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Parameter</w:t>
            </w:r>
          </w:p>
        </w:tc>
        <w:tc>
          <w:tcPr>
            <w:tcW w:type="dxa" w:w="4513"/>
            <w:vAlign w:val="center"/>
            <w:shd w:val="clear" w:color="auto" w:fill="374151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Value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Corpus size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15,000 comments (sample)</w:t>
            </w:r>
          </w:p>
        </w:tc>
      </w:tr>
      <w:tr>
        <w:tc>
          <w:tcPr>
            <w:tcW w:type="dxa" w:w="4513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Classes</w:t>
            </w:r>
          </w:p>
        </w:tc>
        <w:tc>
          <w:tcPr>
            <w:tcW w:type="dxa" w:w="4513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3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Max sequence length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128</w:t>
            </w:r>
          </w:p>
        </w:tc>
      </w:tr>
      <w:tr>
        <w:tc>
          <w:tcPr>
            <w:tcW w:type="dxa" w:w="4513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Learning rate</w:t>
            </w:r>
          </w:p>
        </w:tc>
        <w:tc>
          <w:tcPr>
            <w:tcW w:type="dxa" w:w="4513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2e-5</w:t>
            </w:r>
          </w:p>
        </w:tc>
      </w:tr>
      <w:tr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Epochs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4</w:t>
            </w:r>
          </w:p>
        </w:tc>
      </w:tr>
      <w:tr>
        <w:tc>
          <w:tcPr>
            <w:tcW w:type="dxa" w:w="4513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Hardware</w:t>
            </w:r>
          </w:p>
        </w:tc>
        <w:tc>
          <w:tcPr>
            <w:tcW w:type="dxa" w:w="4513"/>
            <w:vAlign w:val="center"/>
            <w:shd w:val="clear" w:color="auto" w:fill="EBECEE"/>
          </w:tcPr>
          <w:p>
            <w:pPr>
              <w:spacing w:after="0"/>
            </w:pPr>
            <w:r/>
            <w:r>
              <w:rPr>
                <w:sz w:val="19"/>
              </w:rPr>
              <w:t>Single GPU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II. Experimental parameters</w:t>
      </w:r>
    </w:p>
    <w:p>
      <w:pPr>
        <w:pStyle w:val="Heading2"/>
      </w:pPr>
      <w:r>
        <w:t>A. Evaluation Metrics</w:t>
      </w:r>
    </w:p>
    <w:p>
      <w:pPr>
        <w:pStyle w:val="ListBullet"/>
      </w:pPr>
      <w:r>
        <w:t>Macro F1-score</w:t>
      </w:r>
    </w:p>
    <w:p>
      <w:pPr>
        <w:pStyle w:val="ListBullet"/>
      </w:pPr>
      <w:r>
        <w:t>Accuracy</w:t>
      </w:r>
    </w:p>
    <w:p>
      <w:pPr>
        <w:pStyle w:val="ListBullet"/>
      </w:pPr>
      <w:r>
        <w:t>Per-class precision and recall</w:t>
      </w:r>
    </w:p>
    <w:p>
      <w:pPr>
        <w:pStyle w:val="Heading1"/>
      </w:pPr>
      <w:r>
        <w:t>V. RESULTS AND DISCUSSION</w:t>
      </w:r>
    </w:p>
    <w:p>
      <w:pPr>
        <w:jc w:val="both"/>
      </w:pPr>
      <w:r>
        <w:t>The multilingual transformer with normalisation achieved the best macro F1-score. Classical models struggled with unseen spelling variants.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9"/>
            <w:vAlign w:val="center"/>
            <w:shd w:val="clear" w:color="auto" w:fill="374151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Model</w:t>
            </w:r>
          </w:p>
        </w:tc>
        <w:tc>
          <w:tcPr>
            <w:tcW w:type="dxa" w:w="3009"/>
            <w:vAlign w:val="center"/>
            <w:shd w:val="clear" w:color="auto" w:fill="374151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Accuracy (%)</w:t>
            </w:r>
          </w:p>
        </w:tc>
        <w:tc>
          <w:tcPr>
            <w:tcW w:type="dxa" w:w="3009"/>
            <w:vAlign w:val="center"/>
            <w:shd w:val="clear" w:color="auto" w:fill="374151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Macro F1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TF-IDF + SVM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68.2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0.66</w:t>
            </w:r>
          </w:p>
        </w:tc>
      </w:tr>
      <w:tr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Char-CNN</w:t>
            </w:r>
          </w:p>
        </w:tc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71.5</w:t>
            </w:r>
          </w:p>
        </w:tc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0.70</w:t>
            </w:r>
          </w:p>
        </w:tc>
      </w:tr>
      <w:tr>
        <w:tc>
          <w:tcPr>
            <w:tcW w:type="dxa" w:w="30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Multilingual transformer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78.9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0.78</w:t>
            </w:r>
          </w:p>
        </w:tc>
      </w:tr>
      <w:tr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Transformer + normalisation</w:t>
            </w:r>
          </w:p>
        </w:tc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81.4</w:t>
            </w:r>
          </w:p>
        </w:tc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0.80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III. Comparison with baseline methods (sample data)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ECFD0"/>
          <w:left w:val="single" w:sz="4" w:space="0" w:color="CECFD0"/>
          <w:bottom w:val="single" w:sz="4" w:space="0" w:color="CECFD0"/>
          <w:right w:val="single" w:sz="4" w:space="0" w:color="CECFD0"/>
          <w:insideH w:val="single" w:sz="4" w:space="0" w:color="CECFD0"/>
          <w:insideV w:val="single" w:sz="4" w:space="0" w:color="CECFD0"/>
        </w:tblBorders>
      </w:tblPr>
      <w:tblGrid>
        <w:gridCol w:w="9026"/>
      </w:tblGrid>
      <w:tr>
        <w:trPr>
          <w:trHeight w:val="3118" w:hRule="exact"/>
        </w:trPr>
        <w:tc>
          <w:tcPr>
            <w:tcW w:type="dxa" w:w="9026"/>
            <w:shd w:val="clear" w:color="auto" w:fill="EBECEE"/>
            <w:vAlign w:val="center"/>
          </w:tcPr>
          <w:p>
            <w:pPr>
              <w:jc w:val="center"/>
            </w:pPr>
            <w:r>
              <w:rPr>
                <w:color w:val="74777A"/>
                <w:sz w:val="20"/>
              </w:rPr>
              <w:t>Chart placeholder — insert a graph of your results</w:t>
            </w:r>
          </w:p>
        </w:tc>
      </w:tr>
    </w:tbl>
    <w:p>
      <w:pPr>
        <w:pStyle w:val="Caption"/>
        <w:spacing w:before="80"/>
        <w:jc w:val="center"/>
      </w:pPr>
      <w:r>
        <w:t>Fig. 2. Confusion matrix of the best model (sample data)</w:t>
      </w:r>
    </w:p>
    <w:p>
      <w:pPr>
        <w:jc w:val="both"/>
      </w:pPr>
      <w:r>
        <w:t>Most remaining errors involved sarcasm, where positive words express a negative opinion, and very short comments that lack context.</w:t>
      </w:r>
    </w:p>
    <w:p>
      <w:pPr>
        <w:jc w:val="both"/>
      </w:pPr>
      <w:r>
        <w:t>Normalisation helped most for negative comments, which contained more informal spellings.</w:t>
      </w:r>
    </w:p>
    <w:p>
      <w:pPr>
        <w:pStyle w:val="Heading2"/>
      </w:pPr>
      <w:r>
        <w:t>A. Ablation Study</w:t>
      </w:r>
    </w:p>
    <w:p>
      <w:pPr>
        <w:jc w:val="both"/>
      </w:pPr>
      <w:r>
        <w:t>To understand the contribution of each component, we removed one component at a time and repeated the evaluation. Table IV shows that every component contributes to the final result, with the largest drop observed when the spelling normalisation is removed.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017"/>
        <w:gridCol w:w="3008"/>
      </w:tblGrid>
      <w:tr>
        <w:trPr>
          <w:tblHeader/>
        </w:trPr>
        <w:tc>
          <w:tcPr>
            <w:tcW w:type="dxa" w:w="6017"/>
            <w:vAlign w:val="center"/>
            <w:shd w:val="clear" w:color="auto" w:fill="374151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Variant</w:t>
            </w:r>
          </w:p>
        </w:tc>
        <w:tc>
          <w:tcPr>
            <w:tcW w:type="dxa" w:w="3009"/>
            <w:vAlign w:val="center"/>
            <w:shd w:val="clear" w:color="auto" w:fill="374151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Macro F1</w:t>
            </w:r>
          </w:p>
        </w:tc>
      </w:tr>
      <w:tr>
        <w:tc>
          <w:tcPr>
            <w:tcW w:type="dxa" w:w="601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Full model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0.80</w:t>
            </w:r>
          </w:p>
        </w:tc>
      </w:tr>
      <w:tr>
        <w:tc>
          <w:tcPr>
            <w:tcW w:type="dxa" w:w="6017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Without spelling normalisation</w:t>
            </w:r>
          </w:p>
        </w:tc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0.78</w:t>
            </w:r>
          </w:p>
        </w:tc>
      </w:tr>
      <w:tr>
        <w:tc>
          <w:tcPr>
            <w:tcW w:type="dxa" w:w="6017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Without pre-processing</w:t>
            </w:r>
          </w:p>
        </w:tc>
        <w:tc>
          <w:tcPr>
            <w:tcW w:type="dxa" w:w="300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0.77</w:t>
            </w:r>
          </w:p>
        </w:tc>
      </w:tr>
      <w:tr>
        <w:tc>
          <w:tcPr>
            <w:tcW w:type="dxa" w:w="6017"/>
            <w:vAlign w:val="center"/>
            <w:shd w:val="clear" w:color="auto" w:fill="EBECEE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Baseline only</w:t>
            </w:r>
          </w:p>
        </w:tc>
        <w:tc>
          <w:tcPr>
            <w:tcW w:type="dxa" w:w="3009"/>
            <w:vAlign w:val="center"/>
            <w:shd w:val="clear" w:color="auto" w:fill="EBECEE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0.66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IV. Ablation results (sample data)</w:t>
      </w:r>
    </w:p>
    <w:p>
      <w:pPr>
        <w:pStyle w:val="Heading2"/>
      </w:pPr>
      <w:r>
        <w:t>B. Limitations</w:t>
      </w:r>
    </w:p>
    <w:p>
      <w:pPr>
        <w:pStyle w:val="ListBullet"/>
      </w:pPr>
      <w:r>
        <w:t>Only Hindi–English mixing was studied.</w:t>
      </w:r>
    </w:p>
    <w:p>
      <w:pPr>
        <w:pStyle w:val="ListBullet"/>
      </w:pPr>
      <w:r>
        <w:t>The variant dictionary was built manually.</w:t>
      </w:r>
    </w:p>
    <w:p>
      <w:pPr>
        <w:pStyle w:val="ListBullet"/>
      </w:pPr>
      <w:r>
        <w:t>Emojis were removed rather than modelled.</w:t>
      </w:r>
    </w:p>
    <w:p>
      <w:pPr>
        <w:pStyle w:val="Heading1"/>
      </w:pPr>
      <w:r>
        <w:t>VI. CONCLUSION AND FUTURE WORK</w:t>
      </w:r>
    </w:p>
    <w:p>
      <w:pPr>
        <w:jc w:val="both"/>
      </w:pPr>
      <w:r>
        <w:t>This paper showed that multilingual transformers, combined with simple spelling normalisation, perform well on code-mixed Hindi–English sentiment analysis.</w:t>
      </w:r>
    </w:p>
    <w:p>
      <w:pPr>
        <w:jc w:val="both"/>
      </w:pPr>
      <w:r>
        <w:t>We plan to learn normalisation automatically, model emojis, and extend the work to other Indian language pairs.</w:t>
      </w:r>
    </w:p>
    <w:p>
      <w:pPr>
        <w:pStyle w:val="Heading1"/>
      </w:pPr>
      <w:r>
        <w:t>Acknowledgment</w:t>
      </w:r>
    </w:p>
    <w:p>
      <w:pPr>
        <w:jc w:val="both"/>
      </w:pPr>
      <w:r>
        <w:t>The authors thank the department and the participants who helped with data collection. Replace this paragraph with your own acknowledgment, including any funding support.</w:t>
      </w:r>
    </w:p>
    <w:p>
      <w:pPr>
        <w:pStyle w:val="Heading1"/>
      </w:pPr>
      <w:r>
        <w:t>References</w:t>
      </w:r>
    </w:p>
    <w:p>
      <w:pPr>
        <w:spacing w:after="60"/>
      </w:pPr>
      <w:r>
        <w:rPr>
          <w:sz w:val="19"/>
        </w:rPr>
        <w:t>[1] A. Author, B. Author, and C. Author, “Title of the journal article,” Journal Name, vol. 10, no. 2, pp. 101–112, 2023.</w:t>
      </w:r>
    </w:p>
    <w:p>
      <w:pPr>
        <w:spacing w:after="60"/>
      </w:pPr>
      <w:r>
        <w:rPr>
          <w:sz w:val="19"/>
        </w:rPr>
        <w:t>[2] D. Author and E. Author, “Title of the conference paper,” in Proc. Int. Conf. on Topic, City, 2022, pp. 45–50.</w:t>
      </w:r>
    </w:p>
    <w:p>
      <w:pPr>
        <w:spacing w:after="60"/>
      </w:pPr>
      <w:r>
        <w:rPr>
          <w:sz w:val="19"/>
        </w:rPr>
        <w:t>[3] F. Author, Title of the Book, 3rd ed. City: Publisher, 2021.</w:t>
      </w:r>
    </w:p>
    <w:p>
      <w:pPr>
        <w:spacing w:after="60"/>
      </w:pPr>
      <w:r>
        <w:rPr>
          <w:sz w:val="19"/>
        </w:rPr>
        <w:t>[4] G. Author et al., “Title of the article,” Transactions on Topic, vol. 7, pp. 220–231, 2024.</w:t>
      </w:r>
    </w:p>
    <w:p>
      <w:pPr>
        <w:spacing w:after="60"/>
      </w:pPr>
      <w:r>
        <w:rPr>
          <w:sz w:val="19"/>
        </w:rPr>
        <w:t>[5] H. Author, “Title of the thesis,” Ph.D. dissertation, Dept. Name, University Name, City, 2020.</w:t>
      </w:r>
    </w:p>
    <w:p>
      <w:pPr>
        <w:spacing w:after="60"/>
      </w:pPr>
      <w:r>
        <w:rPr>
          <w:sz w:val="19"/>
        </w:rPr>
        <w:t>[6] I. Author and J. Author, “Title of the preprint,” arXiv preprint, 2024.</w:t>
      </w:r>
    </w:p>
    <w:p>
      <w:pPr>
        <w:spacing w:after="60"/>
      </w:pPr>
      <w:r>
        <w:rPr>
          <w:sz w:val="19"/>
        </w:rPr>
        <w:t>[7] K. Author, “Title of the dataset or software,” Version 2.1, 2023. [Online]. Available: URL</w:t>
      </w:r>
    </w:p>
    <w:p>
      <w:pPr>
        <w:spacing w:after="60"/>
      </w:pPr>
      <w:r>
        <w:rPr>
          <w:sz w:val="19"/>
        </w:rPr>
        <w:t>[8] L. Author, M. Author, “Title of the survey paper,” ACM Computing Surveys, vol. 55, 2023.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Sentiment analysis of code-mixed Hinglish text</w:t>
    </w:r>
    <w:r>
      <w:rPr>
        <w:color w:val="74777A"/>
        <w:sz w:val="17"/>
      </w:rPr>
      <w:tab/>
      <w:t>Template · Conference on Language Technologies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1F2328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280" w:after="160" w:line="264" w:lineRule="auto"/>
      <w:outlineLvl w:val="0"/>
      <w:pBdr>
        <w:top w:val="single" w:sz="18" w:space="10" w:color="1F2328"/>
      </w:pBdr>
    </w:pPr>
    <w:rPr>
      <w:rFonts w:ascii="PT Serif" w:hAnsi="PT Serif" w:cs="PT Serif" w:eastAsia="PT Serif"/>
      <w:b/>
      <w:bCs/>
      <w:i w:val="0"/>
      <w:color w:val="1F2328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T Serif" w:hAnsi="PT Serif" w:cs="PT Serif" w:eastAsia="PT Serif"/>
      <w:b/>
      <w:bCs/>
      <w:i w:val="0"/>
      <w:color w:val="37415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T Serif" w:hAnsi="PT Serif" w:cs="PT Serif" w:eastAsia="PT Serif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T Serif" w:hAnsi="PT Serif" w:cs="PT Serif" w:eastAsia="PT Serif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T Serif" w:hAnsi="PT Serif" w:cs="PT Serif" w:eastAsia="PT Serif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Source Sans 3" w:hAnsi="Source Sans 3" w:cs="Source Sans 3" w:eastAsia="Source Sans 3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