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0"/>
        <w:jc w:val="center"/>
      </w:pPr>
      <w:r>
        <w:rPr>
          <w:sz w:val="38"/>
        </w:rPr>
        <w:t>Calibration of Low-Cost Particulate Matter Sensors for Urban Air Quality Monitoring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Kunal Saxena</w:t>
            </w:r>
          </w:p>
          <w:p>
            <w:pPr>
              <w:spacing w:after="0"/>
              <w:jc w:val="center"/>
            </w:pPr>
            <w:r>
              <w:rPr>
                <w:color w:val="6F7581"/>
                <w:sz w:val="18"/>
              </w:rPr>
              <w:t>Dept. of Environmental Engineering, Your Institute, Delhi</w:t>
            </w:r>
          </w:p>
          <w:p>
            <w:pPr>
              <w:spacing w:after="0"/>
              <w:jc w:val="center"/>
            </w:pPr>
            <w:r>
              <w:rPr>
                <w:color w:val="6F7581"/>
                <w:sz w:val="18"/>
              </w:rPr>
              <w:t>kunal@youremail.edu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Ritika Malhotra</w:t>
            </w:r>
          </w:p>
          <w:p>
            <w:pPr>
              <w:spacing w:after="0"/>
              <w:jc w:val="center"/>
            </w:pPr>
            <w:r>
              <w:rPr>
                <w:color w:val="6F7581"/>
                <w:sz w:val="18"/>
              </w:rPr>
              <w:t>Dept. of Electronics, Your Institute, Delhi</w:t>
            </w:r>
          </w:p>
          <w:p>
            <w:pPr>
              <w:spacing w:after="0"/>
              <w:jc w:val="center"/>
            </w:pPr>
            <w:r>
              <w:rPr>
                <w:color w:val="6F7581"/>
                <w:sz w:val="18"/>
              </w:rPr>
              <w:t>ritika@youremail.edu</w:t>
            </w:r>
          </w:p>
        </w:tc>
      </w:tr>
    </w:tbl>
    <w:p>
      <w:pPr>
        <w:spacing w:after="160"/>
      </w:pPr>
    </w:p>
    <w:p>
      <w:pPr>
        <w:jc w:val="both"/>
      </w:pPr>
      <w:r>
        <w:rPr>
          <w:b/>
          <w:i/>
        </w:rPr>
        <w:t xml:space="preserve">Abstract— </w:t>
      </w:r>
      <w:r>
        <w:t>Low-cost particulate matter (PM) sensors make dense air quality networks affordable, but their readings drift with humidity and temperature and differ from reference instruments. This paper co-locates low-cost sensors with a reference monitor and compares linear, multiple-regression and random-forest calibration models. Calibration that includes relative humidity and temperature reduces error substantially. The paper provides a practical procedure that schools and community groups can follow. All values are sample data for this template.</w:t>
      </w:r>
    </w:p>
    <w:p>
      <w:pPr>
        <w:jc w:val="both"/>
      </w:pPr>
      <w:r>
        <w:rPr>
          <w:b/>
          <w:i/>
        </w:rPr>
        <w:t xml:space="preserve">Index Terms— </w:t>
      </w:r>
      <w:r>
        <w:rPr>
          <w:i/>
        </w:rPr>
        <w:t>air quality, low-cost sensors, PM2.5, calibration, Internet of Things</w:t>
      </w:r>
    </w:p>
    <w:p>
      <w:pPr>
        <w:pStyle w:val="Caption"/>
        <w:jc w:val="center"/>
      </w:pPr>
      <w:r>
        <w:t>This is a template: all data, results and references are placeholders for the author to replace.</w:t>
      </w:r>
    </w:p>
    <w:p>
      <w:pPr>
        <w:pStyle w:val="Heading1"/>
      </w:pPr>
      <w:r>
        <w:t>I. INTRODUCTION</w:t>
      </w:r>
    </w:p>
    <w:p>
      <w:pPr>
        <w:jc w:val="both"/>
      </w:pPr>
      <w:r>
        <w:t>Fine particulate matter (PM2.5) is a major air pollutant in many cities. Reference-grade monitors are accurate but expensive, so monitoring stations are sparse and may not reflect conditions in individual neighbourhoods.</w:t>
      </w:r>
    </w:p>
    <w:p>
      <w:pPr>
        <w:jc w:val="both"/>
      </w:pPr>
      <w:r>
        <w:t>Low-cost optical sensors can fill these gaps, but their raw readings are affected by humidity, temperature and particle composition. Calibration against a reference monitor is essential before their data can be trusted.</w:t>
      </w:r>
    </w:p>
    <w:p>
      <w:pPr>
        <w:jc w:val="both"/>
      </w:pPr>
      <w:r>
        <w:t>The main contributions of this paper are as follows:</w:t>
      </w:r>
    </w:p>
    <w:p>
      <w:pPr>
        <w:pStyle w:val="ListBullet"/>
      </w:pPr>
      <w:r>
        <w:t>A two-month co-location study of low-cost sensors with a reference monitor.</w:t>
      </w:r>
    </w:p>
    <w:p>
      <w:pPr>
        <w:pStyle w:val="ListBullet"/>
      </w:pPr>
      <w:r>
        <w:t>A comparison of three calibration models using environmental variables.</w:t>
      </w:r>
    </w:p>
    <w:p>
      <w:pPr>
        <w:pStyle w:val="ListBullet"/>
      </w:pPr>
      <w:r>
        <w:t>A simple field procedure for calibrating community sensor networks.</w:t>
      </w:r>
    </w:p>
    <w:p>
      <w:pPr>
        <w:jc w:val="both"/>
      </w:pPr>
      <w:r>
        <w:t>The rest of the paper is organised as follows. Section II reviews related work, Section III describes the proposed calibration model, Section IV presents the experimental setup, Section V reports and discusses the results, and Section VI concludes the paper.</w:t>
      </w:r>
    </w:p>
    <w:p>
      <w:pPr>
        <w:pStyle w:val="Heading1"/>
      </w:pPr>
      <w:r>
        <w:t>II. RELATED WORK</w:t>
      </w:r>
    </w:p>
    <w:p>
      <w:pPr>
        <w:jc w:val="both"/>
      </w:pPr>
      <w:r>
        <w:t>Field studies report that raw low-cost sensor readings can overestimate PM2.5 during humid conditions [1].</w:t>
      </w:r>
    </w:p>
    <w:p>
      <w:pPr>
        <w:jc w:val="both"/>
      </w:pPr>
      <w:r>
        <w:t>Linear correction factors improve agreement but do not handle non-linear humidity effects [2].</w:t>
      </w:r>
    </w:p>
    <w:p>
      <w:pPr>
        <w:jc w:val="both"/>
      </w:pPr>
      <w:r>
        <w:t>Machine-learning calibration models have achieved lower errors in several cities [3].</w:t>
      </w:r>
    </w:p>
    <w:p>
      <w:pPr>
        <w:jc w:val="both"/>
      </w:pPr>
      <w:r>
        <w:t>Long-term drift requires periodic recalibration [4].</w:t>
      </w:r>
    </w:p>
    <w:p>
      <w:pPr>
        <w:pStyle w:val="Heading1"/>
      </w:pPr>
      <w:r>
        <w:t>III. PROPOSED CALIBRATION MODEL</w:t>
      </w:r>
    </w:p>
    <w:p>
      <w:pPr>
        <w:jc w:val="both"/>
      </w:pPr>
      <w:r>
        <w:t>Sensors were installed next to a reference monitor at a height of three metres. Each node recorded PM2.5, temperature and relative humidity every minute; readings were averaged to hourly values.</w:t>
      </w:r>
    </w:p>
    <w:p>
      <w:pPr>
        <w:jc w:val="both"/>
      </w:pPr>
      <w:r>
        <w:t>Three calibration models were trained on the first five weeks of data and tested on the remaining three weeks.</w:t>
      </w:r>
    </w:p>
    <w:p>
      <w:pPr>
        <w:pStyle w:val="Heading2"/>
      </w:pPr>
      <w:r>
        <w:t>A. Overview</w:t>
      </w:r>
    </w:p>
    <w:p>
      <w:pPr>
        <w:jc w:val="both"/>
      </w:pPr>
      <w:r>
        <w:t>Each sensor node uses a microcontroller with Wi-Fi to send readings to a server, where hourly averages are computed and the calibration model is applied.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</w:tblPr>
      <w:tblGrid>
        <w:gridCol w:w="9639"/>
      </w:tblGrid>
      <w:tr>
        <w:trPr>
          <w:trHeight w:val="3118" w:hRule="exact"/>
        </w:trPr>
        <w:tc>
          <w:tcPr>
            <w:tcW w:type="dxa" w:w="9638"/>
            <w:shd w:val="clear" w:color="auto" w:fill="E8EBF3"/>
            <w:vAlign w:val="center"/>
          </w:tcPr>
          <w:p>
            <w:pPr>
              <w:jc w:val="center"/>
            </w:pPr>
            <w:r>
              <w:rPr>
                <w:color w:val="6F7581"/>
                <w:sz w:val="20"/>
              </w:rPr>
              <w:t>Figure placeholder — block diagram of the proposed calibration model</w:t>
            </w:r>
          </w:p>
        </w:tc>
      </w:tr>
    </w:tbl>
    <w:p>
      <w:pPr>
        <w:pStyle w:val="Caption"/>
        <w:spacing w:before="80"/>
        <w:jc w:val="center"/>
      </w:pPr>
      <w:r>
        <w:t>Fig. 1. Overview of the proposed calibration model</w:t>
      </w:r>
    </w:p>
    <w:p>
      <w:pPr>
        <w:pStyle w:val="Heading2"/>
      </w:pPr>
      <w:r>
        <w:t>B. Algorithm</w:t>
      </w:r>
    </w:p>
    <w:p>
      <w:pPr>
        <w:pStyle w:val="ListNumber"/>
      </w:pPr>
      <w:r>
        <w:t>Co-locate sensors with the reference monitor.</w:t>
      </w:r>
    </w:p>
    <w:p>
      <w:pPr>
        <w:pStyle w:val="ListNumber"/>
      </w:pPr>
      <w:r>
        <w:t>Collect and clean minute-level data.</w:t>
      </w:r>
    </w:p>
    <w:p>
      <w:pPr>
        <w:pStyle w:val="ListNumber"/>
      </w:pPr>
      <w:r>
        <w:t>Compute hourly averages.</w:t>
      </w:r>
    </w:p>
    <w:p>
      <w:pPr>
        <w:pStyle w:val="ListNumber"/>
      </w:pPr>
      <w:r>
        <w:t>Train calibration models on the training period.</w:t>
      </w:r>
    </w:p>
    <w:p>
      <w:pPr>
        <w:pStyle w:val="ListNumber"/>
      </w:pPr>
      <w:r>
        <w:t>Apply models to the test period and compare errors.</w:t>
      </w:r>
    </w:p>
    <w:p>
      <w:pPr>
        <w:spacing w:after="120" w:before="80"/>
        <w:jc w:val="center"/>
      </w:pPr>
      <w:r>
        <w:rPr>
          <w:i/>
        </w:rPr>
        <w:t>PM_cal = β₀ + β₁·PM_raw + β₂·RH + β₃·T</w:t>
      </w:r>
    </w:p>
    <w:p>
      <w:pPr>
        <w:pStyle w:val="Heading1"/>
      </w:pPr>
      <w:r>
        <w:t>IV. EXPERIMENTAL SETUP</w:t>
      </w:r>
    </w:p>
    <w:p>
      <w:pPr>
        <w:jc w:val="both"/>
      </w:pPr>
      <w:r>
        <w:t>Four sensor nodes were co-located for eight weeks during the winter season. The reference monitor provided hourly PM2.5 values. Models were trained on five weeks and tested on three.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Parameter</w:t>
            </w:r>
          </w:p>
        </w:tc>
        <w:tc>
          <w:tcPr>
            <w:tcW w:type="dxa" w:w="4819"/>
            <w:vAlign w:val="center"/>
            <w:shd w:val="clear" w:color="auto" w:fill="1E3A8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Value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Sensor nodes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</w:tr>
      <w:tr>
        <w:tc>
          <w:tcPr>
            <w:tcW w:type="dxa" w:w="481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Duration</w:t>
            </w:r>
          </w:p>
        </w:tc>
        <w:tc>
          <w:tcPr>
            <w:tcW w:type="dxa" w:w="481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8 weeks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Averaging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 hour</w:t>
            </w:r>
          </w:p>
        </w:tc>
      </w:tr>
      <w:tr>
        <w:tc>
          <w:tcPr>
            <w:tcW w:type="dxa" w:w="481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Train / test</w:t>
            </w:r>
          </w:p>
        </w:tc>
        <w:tc>
          <w:tcPr>
            <w:tcW w:type="dxa" w:w="481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5 / 3 weeks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Variables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PM2.5, RH, T</w:t>
            </w:r>
          </w:p>
        </w:tc>
      </w:tr>
      <w:tr>
        <w:tc>
          <w:tcPr>
            <w:tcW w:type="dxa" w:w="481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Models</w:t>
            </w:r>
          </w:p>
        </w:tc>
        <w:tc>
          <w:tcPr>
            <w:tcW w:type="dxa" w:w="4819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20"/>
              </w:rPr>
              <w:t>Linear, MLR, random forest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II. Experimental parameters</w:t>
      </w:r>
    </w:p>
    <w:p>
      <w:pPr>
        <w:pStyle w:val="Heading2"/>
      </w:pPr>
      <w:r>
        <w:t>A. Evaluation Metrics</w:t>
      </w:r>
    </w:p>
    <w:p>
      <w:pPr>
        <w:pStyle w:val="ListBullet"/>
      </w:pPr>
      <w:r>
        <w:t>Coefficient of determination (R²)</w:t>
      </w:r>
    </w:p>
    <w:p>
      <w:pPr>
        <w:pStyle w:val="ListBullet"/>
      </w:pPr>
      <w:r>
        <w:t>Root mean square error (RMSE, µg/m³)</w:t>
      </w:r>
    </w:p>
    <w:p>
      <w:pPr>
        <w:pStyle w:val="ListBullet"/>
      </w:pPr>
      <w:r>
        <w:t>Mean absolute error (MAE, µg/m³)</w:t>
      </w:r>
    </w:p>
    <w:p>
      <w:pPr>
        <w:pStyle w:val="Heading1"/>
      </w:pPr>
      <w:r>
        <w:t>V. RESULTS AND DISCUSSION</w:t>
      </w:r>
    </w:p>
    <w:p>
      <w:pPr>
        <w:jc w:val="both"/>
      </w:pPr>
      <w:r>
        <w:t>Including humidity and temperature improved agreement with the reference monitor. The random-forest model performed best on the test period.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type="dxa" w:w="2409"/>
            <w:vAlign w:val="center"/>
            <w:shd w:val="clear" w:color="auto" w:fill="1E3A8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Model</w:t>
            </w:r>
          </w:p>
        </w:tc>
        <w:tc>
          <w:tcPr>
            <w:tcW w:type="dxa" w:w="2409"/>
            <w:vAlign w:val="center"/>
            <w:shd w:val="clear" w:color="auto" w:fill="1E3A8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R²</w:t>
            </w:r>
          </w:p>
        </w:tc>
        <w:tc>
          <w:tcPr>
            <w:tcW w:type="dxa" w:w="2409"/>
            <w:vAlign w:val="center"/>
            <w:shd w:val="clear" w:color="auto" w:fill="1E3A8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RMSE (µg/m³)</w:t>
            </w:r>
          </w:p>
        </w:tc>
        <w:tc>
          <w:tcPr>
            <w:tcW w:type="dxa" w:w="2409"/>
            <w:vAlign w:val="center"/>
            <w:shd w:val="clear" w:color="auto" w:fill="1E3A8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MAE (µg/m³)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Raw readings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0.61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38.2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29.5</w:t>
            </w:r>
          </w:p>
        </w:tc>
      </w:tr>
      <w:tr>
        <w:tc>
          <w:tcPr>
            <w:tcW w:type="dxa" w:w="2409"/>
            <w:vAlign w:val="center"/>
            <w:shd w:val="clear" w:color="auto" w:fill="E8EBF3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Linear correction</w:t>
            </w:r>
          </w:p>
        </w:tc>
        <w:tc>
          <w:tcPr>
            <w:tcW w:type="dxa" w:w="2409"/>
            <w:vAlign w:val="center"/>
            <w:shd w:val="clear" w:color="auto" w:fill="E8EBF3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0.72</w:t>
            </w:r>
          </w:p>
        </w:tc>
        <w:tc>
          <w:tcPr>
            <w:tcW w:type="dxa" w:w="2409"/>
            <w:vAlign w:val="center"/>
            <w:shd w:val="clear" w:color="auto" w:fill="E8EBF3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24.6</w:t>
            </w:r>
          </w:p>
        </w:tc>
        <w:tc>
          <w:tcPr>
            <w:tcW w:type="dxa" w:w="2409"/>
            <w:vAlign w:val="center"/>
            <w:shd w:val="clear" w:color="auto" w:fill="E8EBF3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18.1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Multiple regression (PM, RH, T)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0.84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17.3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12.4</w:t>
            </w:r>
          </w:p>
        </w:tc>
      </w:tr>
      <w:tr>
        <w:tc>
          <w:tcPr>
            <w:tcW w:type="dxa" w:w="2409"/>
            <w:vAlign w:val="center"/>
            <w:shd w:val="clear" w:color="auto" w:fill="E8EBF3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Random forest</w:t>
            </w:r>
          </w:p>
        </w:tc>
        <w:tc>
          <w:tcPr>
            <w:tcW w:type="dxa" w:w="2409"/>
            <w:vAlign w:val="center"/>
            <w:shd w:val="clear" w:color="auto" w:fill="E8EBF3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0.89</w:t>
            </w:r>
          </w:p>
        </w:tc>
        <w:tc>
          <w:tcPr>
            <w:tcW w:type="dxa" w:w="2409"/>
            <w:vAlign w:val="center"/>
            <w:shd w:val="clear" w:color="auto" w:fill="E8EBF3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13.8</w:t>
            </w:r>
          </w:p>
        </w:tc>
        <w:tc>
          <w:tcPr>
            <w:tcW w:type="dxa" w:w="2409"/>
            <w:vAlign w:val="center"/>
            <w:shd w:val="clear" w:color="auto" w:fill="E8EBF3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9.9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III. Comparison with baseline methods (sample data)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</w:tblPr>
      <w:tblGrid>
        <w:gridCol w:w="9639"/>
      </w:tblGrid>
      <w:tr>
        <w:trPr>
          <w:trHeight w:val="3118" w:hRule="exact"/>
        </w:trPr>
        <w:tc>
          <w:tcPr>
            <w:tcW w:type="dxa" w:w="9638"/>
            <w:shd w:val="clear" w:color="auto" w:fill="E8EBF3"/>
            <w:vAlign w:val="center"/>
          </w:tcPr>
          <w:p>
            <w:pPr>
              <w:jc w:val="center"/>
            </w:pPr>
            <w:r>
              <w:rPr>
                <w:color w:val="6F7581"/>
                <w:sz w:val="20"/>
              </w:rPr>
              <w:t>Chart placeholder — insert a graph of your results</w:t>
            </w:r>
          </w:p>
        </w:tc>
      </w:tr>
    </w:tbl>
    <w:p>
      <w:pPr>
        <w:pStyle w:val="Caption"/>
        <w:spacing w:before="80"/>
        <w:jc w:val="center"/>
      </w:pPr>
      <w:r>
        <w:t>Fig. 2. Calibrated versus reference PM2.5 for the test period (sample data)</w:t>
      </w:r>
    </w:p>
    <w:p>
      <w:pPr>
        <w:jc w:val="both"/>
      </w:pPr>
      <w:r>
        <w:t>Errors were highest when relative humidity exceeded 85%, confirming the need for humidity terms.</w:t>
      </w:r>
    </w:p>
    <w:p>
      <w:pPr>
        <w:jc w:val="both"/>
      </w:pPr>
      <w:r>
        <w:t>Differences between individual sensors were small after calibration, which supports the use of a single model per sensor type.</w:t>
      </w:r>
    </w:p>
    <w:p>
      <w:pPr>
        <w:pStyle w:val="Heading1"/>
      </w:pPr>
      <w:r>
        <w:t>VI. CONCLUSION AND FUTURE WORK</w:t>
      </w:r>
    </w:p>
    <w:p>
      <w:pPr>
        <w:jc w:val="both"/>
      </w:pPr>
      <w:r>
        <w:t>Calibration with environmental variables makes low-cost PM sensors far more reliable for neighbourhood monitoring.</w:t>
      </w:r>
    </w:p>
    <w:p>
      <w:pPr>
        <w:jc w:val="both"/>
      </w:pPr>
      <w:r>
        <w:t>Future work will study seasonal drift, transfer of models between locations and automatic recalibration using nearby reference stations.</w:t>
      </w:r>
    </w:p>
    <w:p>
      <w:pPr>
        <w:pStyle w:val="Heading1"/>
      </w:pPr>
      <w:r>
        <w:t>Acknowledgment</w:t>
      </w:r>
    </w:p>
    <w:p>
      <w:pPr>
        <w:jc w:val="both"/>
      </w:pPr>
      <w:r>
        <w:t>The authors thank the department and the participants who helped with data collection. Replace this paragraph with your own acknowledgment, including any funding support.</w:t>
      </w:r>
    </w:p>
    <w:p>
      <w:pPr>
        <w:pStyle w:val="Heading1"/>
      </w:pPr>
      <w:r>
        <w:t>References</w:t>
      </w:r>
    </w:p>
    <w:p>
      <w:pPr>
        <w:spacing w:after="60"/>
      </w:pPr>
      <w:r>
        <w:rPr>
          <w:sz w:val="20"/>
        </w:rPr>
        <w:t>[1] A. Author, B. Author, and C. Author, “Title of the journal article,” Journal Name, vol. 10, no. 2, pp. 101–112, 2023.</w:t>
      </w:r>
    </w:p>
    <w:p>
      <w:pPr>
        <w:spacing w:after="60"/>
      </w:pPr>
      <w:r>
        <w:rPr>
          <w:sz w:val="20"/>
        </w:rPr>
        <w:t>[2] D. Author and E. Author, “Title of the conference paper,” in Proc. Int. Conf. on Topic, City, 2022, pp. 45–50.</w:t>
      </w:r>
    </w:p>
    <w:p>
      <w:pPr>
        <w:spacing w:after="60"/>
      </w:pPr>
      <w:r>
        <w:rPr>
          <w:sz w:val="20"/>
        </w:rPr>
        <w:t>[3] F. Author, Title of the Book, 3rd ed. City: Publisher, 2021.</w:t>
      </w:r>
    </w:p>
    <w:p>
      <w:pPr>
        <w:spacing w:after="60"/>
      </w:pPr>
      <w:r>
        <w:rPr>
          <w:sz w:val="20"/>
        </w:rPr>
        <w:t>[4] G. Author et al., “Title of the article,” Transactions on Topic, vol. 7, pp. 220–231, 2024.</w:t>
      </w:r>
    </w:p>
    <w:p>
      <w:pPr>
        <w:spacing w:after="60"/>
      </w:pPr>
      <w:r>
        <w:rPr>
          <w:sz w:val="20"/>
        </w:rPr>
        <w:t>[5] H. Author, “Title of the thesis,” Ph.D. dissertation, Dept. Name, University Name, City, 2020.</w:t>
      </w:r>
    </w:p>
    <w:p>
      <w:pPr>
        <w:spacing w:after="60"/>
      </w:pPr>
      <w:r>
        <w:rPr>
          <w:sz w:val="20"/>
        </w:rPr>
        <w:t>[6] I. Author and J. Author, “Title of the preprint,” arXiv preprint, 2024.</w:t>
      </w:r>
    </w:p>
    <w:p>
      <w:pPr>
        <w:spacing w:after="60"/>
      </w:pPr>
      <w:r>
        <w:rPr>
          <w:sz w:val="20"/>
        </w:rPr>
        <w:t>[7] K. Author, “Title of the dataset or software,” Version 2.1, 2023. [Online]. Available: URL</w:t>
      </w:r>
    </w:p>
    <w:p>
      <w:pPr>
        <w:spacing w:after="60"/>
      </w:pPr>
      <w:r>
        <w:rPr>
          <w:sz w:val="20"/>
        </w:rPr>
        <w:t>[8] L. Author, M. Author, “Title of the survey paper,” ACM Computing Surveys, vol. 55, 2023.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CCED2"/>
      </w:pBdr>
    </w:pPr>
    <w:r/>
    <w:r>
      <w:rPr>
        <w:caps w:val="0"/>
        <w:color w:val="6F7581"/>
        <w:sz w:val="17"/>
      </w:rPr>
      <w:t>Calibrating low-cost PM sensors</w:t>
    </w:r>
    <w:r>
      <w:rPr>
        <w:color w:val="6F7581"/>
        <w:sz w:val="17"/>
      </w:rPr>
      <w:tab/>
      <w:t>Template · Journal of Environmental Sensing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172033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280" w:after="160" w:line="264" w:lineRule="auto"/>
      <w:ind w:left="170"/>
      <w:outlineLvl w:val="0"/>
      <w:shd w:val="clear" w:color="auto" w:fill="CED4E5"/>
      <w:pBdr>
        <w:left w:val="single" w:sz="36" w:space="8" w:color="1E3A8A"/>
      </w:pBdr>
    </w:pPr>
    <w:rPr>
      <w:rFonts w:ascii="Calibri" w:hAnsi="Calibri" w:cs="Calibri" w:eastAsia="Calibri"/>
      <w:b/>
      <w:bCs/>
      <w:i w:val="0"/>
      <w:color w:val="172033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libri" w:hAnsi="Calibri" w:cs="Calibri" w:eastAsia="Calibri"/>
      <w:b/>
      <w:bCs/>
      <w:i w:val="0"/>
      <w:color w:val="17203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libri" w:hAnsi="Calibri" w:cs="Calibri" w:eastAsia="Calibri"/>
      <w:b/>
      <w:bCs/>
      <w:i w:val="0"/>
      <w:color w:val="17203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libri" w:hAnsi="Calibri" w:cs="Calibri" w:eastAsia="Calibri"/>
      <w:b/>
      <w:color w:val="172033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libri" w:hAnsi="Calibri" w:cs="Calibri" w:eastAsia="Calibri"/>
      <w:i w:val="0"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Calibri" w:hAnsi="Calibri" w:cs="Calibri" w:eastAsia="Calibri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