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172033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Brightline Analytics Pvt. Ltd.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6D28D9"/>
          <w:sz w:val="20"/>
          <w:spacing w:val="40"/>
        </w:rPr>
        <w:t>Employee Handbook</w:t>
      </w:r>
    </w:p>
    <w:p>
      <w:pPr>
        <w:pStyle w:val="Title"/>
      </w:pPr>
      <w:r>
        <w:t>Employee Handbook</w:t>
      </w:r>
    </w:p>
    <w:p>
      <w:pPr>
        <w:spacing w:after="2400"/>
      </w:pPr>
      <w:r>
        <w:rPr>
          <w:b w:val="0"/>
          <w:i w:val="0"/>
          <w:color w:val="6F7581"/>
          <w:sz w:val="28"/>
        </w:rPr>
        <w:t>Policies, benefits and ways of working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DOCUMENT NO.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VERSION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EFFECTIVE DATE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HR-HB-001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4.0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1 April 2026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283" w:hRule="exact"/>
        </w:trPr>
        <w:tc>
          <w:tcPr>
            <w:tcW w:type="dxa" w:w="9638"/>
            <w:shd w:val="clear" w:color="auto" w:fill="6D28D9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Employee Handbook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HR-HB-001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4.0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 April 2026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Head of People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Managing Director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101"/>
        <w:gridCol w:w="1652"/>
        <w:gridCol w:w="4819"/>
        <w:gridCol w:w="2065"/>
      </w:tblGrid>
      <w:tr>
        <w:trPr>
          <w:tblHeader/>
        </w:trPr>
        <w:tc>
          <w:tcPr>
            <w:tcW w:type="dxa" w:w="1101"/>
            <w:vAlign w:val="center"/>
            <w:shd w:val="clear" w:color="auto" w:fill="521EA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652"/>
            <w:vAlign w:val="center"/>
            <w:shd w:val="clear" w:color="auto" w:fill="521EA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521EA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2065"/>
            <w:vAlign w:val="center"/>
            <w:shd w:val="clear" w:color="auto" w:fill="521EA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1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3.0</w:t>
            </w:r>
          </w:p>
        </w:tc>
        <w:tc>
          <w:tcPr>
            <w:tcW w:type="dxa" w:w="16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Apr 2025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Hybrid work policy added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MD</w:t>
            </w:r>
          </w:p>
        </w:tc>
      </w:tr>
      <w:tr>
        <w:tc>
          <w:tcPr>
            <w:tcW w:type="dxa" w:w="110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4.0</w:t>
            </w:r>
          </w:p>
        </w:tc>
        <w:tc>
          <w:tcPr>
            <w:tcW w:type="dxa" w:w="165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1 Apr 2026</w:t>
            </w:r>
          </w:p>
        </w:tc>
        <w:tc>
          <w:tcPr>
            <w:tcW w:type="dxa" w:w="481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Leave policy and code of conduct updated</w:t>
            </w:r>
          </w:p>
        </w:tc>
        <w:tc>
          <w:tcPr>
            <w:tcW w:type="dxa" w:w="2065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MD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Purpose</w:t>
      </w:r>
      <w:r>
        <w:tab/>
        <w:t>5</w:t>
      </w:r>
    </w:p>
    <w:p>
      <w:pPr>
        <w:pStyle w:val="TOC1"/>
      </w:pPr>
      <w:r>
        <w:t>Scope</w:t>
      </w:r>
      <w:r>
        <w:tab/>
        <w:t>6</w:t>
      </w:r>
    </w:p>
    <w:p>
      <w:pPr>
        <w:pStyle w:val="TOC1"/>
      </w:pPr>
      <w:r>
        <w:t>Welcome</w:t>
      </w:r>
      <w:r>
        <w:tab/>
        <w:t>7</w:t>
      </w:r>
    </w:p>
    <w:p>
      <w:pPr>
        <w:pStyle w:val="TOC2"/>
      </w:pPr>
      <w:r>
        <w:t>Our Story and Values</w:t>
      </w:r>
      <w:r>
        <w:tab/>
        <w:t>7</w:t>
      </w:r>
    </w:p>
    <w:p>
      <w:pPr>
        <w:pStyle w:val="TOC2"/>
      </w:pPr>
      <w:r>
        <w:t>Your First Weeks</w:t>
      </w:r>
      <w:r>
        <w:tab/>
        <w:t>7</w:t>
      </w:r>
    </w:p>
    <w:p>
      <w:pPr>
        <w:pStyle w:val="TOC1"/>
      </w:pPr>
      <w:r>
        <w:t>Working Here</w:t>
      </w:r>
      <w:r>
        <w:tab/>
        <w:t>8</w:t>
      </w:r>
    </w:p>
    <w:p>
      <w:pPr>
        <w:pStyle w:val="TOC2"/>
      </w:pPr>
      <w:r>
        <w:t>Working Hours and Hybrid Work</w:t>
      </w:r>
      <w:r>
        <w:tab/>
        <w:t>8</w:t>
      </w:r>
    </w:p>
    <w:p>
      <w:pPr>
        <w:pStyle w:val="TOC2"/>
      </w:pPr>
      <w:r>
        <w:t>Attendance and Time Off</w:t>
      </w:r>
      <w:r>
        <w:tab/>
        <w:t>8</w:t>
      </w:r>
    </w:p>
    <w:p>
      <w:pPr>
        <w:pStyle w:val="TOC2"/>
      </w:pPr>
      <w:r>
        <w:t>Dress Code</w:t>
      </w:r>
      <w:r>
        <w:tab/>
        <w:t>8</w:t>
      </w:r>
    </w:p>
    <w:p>
      <w:pPr>
        <w:pStyle w:val="TOC1"/>
      </w:pPr>
      <w:r>
        <w:t>Leave Policy</w:t>
      </w:r>
      <w:r>
        <w:tab/>
        <w:t>9</w:t>
      </w:r>
    </w:p>
    <w:p>
      <w:pPr>
        <w:pStyle w:val="TOC2"/>
      </w:pPr>
      <w:r>
        <w:t>Types of Leave</w:t>
      </w:r>
      <w:r>
        <w:tab/>
        <w:t>9</w:t>
      </w:r>
    </w:p>
    <w:p>
      <w:pPr>
        <w:pStyle w:val="TOC1"/>
      </w:pPr>
      <w:r>
        <w:t>Pay and Benefits</w:t>
      </w:r>
      <w:r>
        <w:tab/>
        <w:t>10</w:t>
      </w:r>
    </w:p>
    <w:p>
      <w:pPr>
        <w:pStyle w:val="TOC2"/>
      </w:pPr>
      <w:r>
        <w:t>Salary and Payroll</w:t>
      </w:r>
      <w:r>
        <w:tab/>
        <w:t>10</w:t>
      </w:r>
    </w:p>
    <w:p>
      <w:pPr>
        <w:pStyle w:val="TOC2"/>
      </w:pPr>
      <w:r>
        <w:t>Benefits</w:t>
      </w:r>
      <w:r>
        <w:tab/>
        <w:t>10</w:t>
      </w:r>
    </w:p>
    <w:p>
      <w:pPr>
        <w:pStyle w:val="TOC2"/>
      </w:pPr>
      <w:r>
        <w:t>Expense Reimbursement</w:t>
      </w:r>
      <w:r>
        <w:tab/>
        <w:t>10</w:t>
      </w:r>
    </w:p>
    <w:p>
      <w:pPr>
        <w:pStyle w:val="TOC1"/>
      </w:pPr>
      <w:r>
        <w:t>Code of Conduct</w:t>
      </w:r>
      <w:r>
        <w:tab/>
        <w:t>11</w:t>
      </w:r>
    </w:p>
    <w:p>
      <w:pPr>
        <w:pStyle w:val="TOC2"/>
      </w:pPr>
      <w:r>
        <w:t>Professional Behaviour</w:t>
      </w:r>
      <w:r>
        <w:tab/>
        <w:t>11</w:t>
      </w:r>
    </w:p>
    <w:p>
      <w:pPr>
        <w:pStyle w:val="TOC2"/>
      </w:pPr>
      <w:r>
        <w:t>Confidentiality and Data Protection</w:t>
      </w:r>
      <w:r>
        <w:tab/>
        <w:t>11</w:t>
      </w:r>
    </w:p>
    <w:p>
      <w:pPr>
        <w:pStyle w:val="TOC2"/>
      </w:pPr>
      <w:r>
        <w:t>Conflicts of Interest</w:t>
      </w:r>
      <w:r>
        <w:tab/>
        <w:t>11</w:t>
      </w:r>
    </w:p>
    <w:p>
      <w:pPr>
        <w:pStyle w:val="TOC2"/>
      </w:pPr>
      <w:r>
        <w:t>Prevention of Sexual Harassment</w:t>
      </w:r>
      <w:r>
        <w:tab/>
        <w:t>11</w:t>
      </w:r>
    </w:p>
    <w:p>
      <w:pPr>
        <w:pStyle w:val="TOC1"/>
      </w:pPr>
      <w:r>
        <w:t>Growth and Performance</w:t>
      </w:r>
      <w:r>
        <w:tab/>
        <w:t>12</w:t>
      </w:r>
    </w:p>
    <w:p>
      <w:pPr>
        <w:pStyle w:val="TOC2"/>
      </w:pPr>
      <w:r>
        <w:t>Goals and Reviews</w:t>
      </w:r>
      <w:r>
        <w:tab/>
        <w:t>12</w:t>
      </w:r>
    </w:p>
    <w:p>
      <w:pPr>
        <w:pStyle w:val="TOC2"/>
      </w:pPr>
      <w:r>
        <w:t>Learning</w:t>
      </w:r>
      <w:r>
        <w:tab/>
        <w:t>12</w:t>
      </w:r>
    </w:p>
    <w:p>
      <w:pPr>
        <w:pStyle w:val="TOC1"/>
      </w:pPr>
      <w:r>
        <w:t>Leaving the Company</w:t>
      </w:r>
      <w:r>
        <w:tab/>
        <w:t>13</w:t>
      </w:r>
    </w:p>
    <w:p>
      <w:pPr>
        <w:pStyle w:val="TOC2"/>
      </w:pPr>
      <w:r>
        <w:t>Resignation and Notice</w:t>
      </w:r>
      <w:r>
        <w:tab/>
        <w:t>13</w:t>
      </w:r>
    </w:p>
    <w:p>
      <w:pPr>
        <w:pStyle w:val="TOC2"/>
      </w:pPr>
      <w:r>
        <w:t>Exit Process</w:t>
      </w:r>
      <w:r>
        <w:tab/>
        <w:t>13</w:t>
      </w:r>
    </w:p>
    <w:p>
      <w:pPr>
        <w:pStyle w:val="TOC1"/>
      </w:pPr>
      <w:r>
        <w:t>Frequently Asked Questions</w:t>
      </w:r>
      <w:r>
        <w:tab/>
        <w:t>14</w:t>
      </w:r>
    </w:p>
    <w:p>
      <w:pPr>
        <w:pStyle w:val="TOC1"/>
      </w:pPr>
      <w:r>
        <w:t>Appendix A: Leave Application Form</w:t>
      </w:r>
      <w:r>
        <w:tab/>
        <w:t>15</w:t>
      </w:r>
    </w:p>
    <w:p>
      <w:pPr>
        <w:pStyle w:val="TOC1"/>
      </w:pPr>
      <w:r>
        <w:t>Appendix B: Expense Claim Form</w:t>
      </w:r>
      <w:r>
        <w:tab/>
        <w:t>16</w:t>
      </w:r>
    </w:p>
    <w:p>
      <w:pPr>
        <w:pStyle w:val="TOC1"/>
      </w:pPr>
      <w:r>
        <w:t>Appendix C: Induction Checklist</w:t>
      </w:r>
      <w:r>
        <w:tab/>
        <w:t>17</w:t>
      </w:r>
    </w:p>
    <w:p>
      <w:pPr>
        <w:pStyle w:val="TOC1"/>
      </w:pPr>
      <w:r>
        <w:t>Appendix D: Exit Clearance Form</w:t>
      </w:r>
      <w:r>
        <w:tab/>
        <w:t>18</w:t>
      </w:r>
    </w:p>
    <w:p>
      <w:pPr>
        <w:pStyle w:val="TOC1"/>
      </w:pPr>
      <w:r>
        <w:t>Acknowledgement</w:t>
      </w:r>
      <w:r>
        <w:tab/>
        <w:t>19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Purpose</w:t>
      </w:r>
    </w:p>
    <w:p>
      <w:pPr>
        <w:jc w:val="both"/>
      </w:pPr>
      <w:r>
        <w:t>This handbook explains how we work together, what you can expect from the company and what the company expects from you. It summarises key policies; the full policy documents on the intranet prevail in case of any difference.</w:t>
      </w:r>
    </w:p>
    <w:p>
      <w:pPr>
        <w:pStyle w:val="Heading1"/>
      </w:pPr>
      <w:r>
        <w:t>Scope</w:t>
      </w:r>
    </w:p>
    <w:p>
      <w:pPr>
        <w:jc w:val="both"/>
      </w:pPr>
      <w:r>
        <w:t>Applies to all full-time employees. Interns and contractors follow the sections marked as applicable in their agreements.</w:t>
      </w:r>
    </w:p>
    <w:p>
      <w:pPr>
        <w:pStyle w:val="Heading1"/>
      </w:pPr>
      <w:r>
        <w:t>Welcome</w:t>
      </w:r>
    </w:p>
    <w:p>
      <w:pPr>
        <w:pStyle w:val="Heading2"/>
      </w:pPr>
      <w:r>
        <w:t>Our Story and Values</w:t>
      </w:r>
    </w:p>
    <w:p>
      <w:pPr>
        <w:jc w:val="both"/>
      </w:pPr>
      <w:r>
        <w:t>Brightline helps businesses make better decisions with data. Our values — clarity, integrity, craft and partnership — guide how we work with clients and with each other.</w:t>
      </w:r>
    </w:p>
    <w:p>
      <w:pPr>
        <w:pStyle w:val="Heading2"/>
      </w:pPr>
      <w:r>
        <w:t>Your First Weeks</w:t>
      </w:r>
    </w:p>
    <w:p>
      <w:pPr>
        <w:jc w:val="both"/>
      </w:pPr>
      <w:r>
        <w:t>Your manager and buddy will help you settle in. In your first month you will complete induction, meet each team and set goals.</w:t>
      </w:r>
    </w:p>
    <w:p>
      <w:pPr>
        <w:pStyle w:val="ListBullet"/>
      </w:pPr>
      <w:r>
        <w:t>Day 1: welcome, IT set-up, induction</w:t>
      </w:r>
    </w:p>
    <w:p>
      <w:pPr>
        <w:pStyle w:val="ListBullet"/>
      </w:pPr>
      <w:r>
        <w:t>Week 1: meet your team and buddy</w:t>
      </w:r>
    </w:p>
    <w:p>
      <w:pPr>
        <w:pStyle w:val="ListBullet"/>
      </w:pPr>
      <w:r>
        <w:t>Month 1: goals agreed with your manager</w:t>
      </w:r>
    </w:p>
    <w:p>
      <w:pPr>
        <w:pStyle w:val="Heading1"/>
      </w:pPr>
      <w:r>
        <w:t>Working Here</w:t>
      </w:r>
    </w:p>
    <w:p>
      <w:pPr>
        <w:pStyle w:val="Heading2"/>
      </w:pPr>
      <w:r>
        <w:t>Working Hours and Hybrid Work</w:t>
      </w:r>
    </w:p>
    <w:p>
      <w:pPr>
        <w:jc w:val="both"/>
      </w:pPr>
      <w:r>
        <w:t>Core collaboration hours are 11 AM to 4 PM. Most teams work from the office three days a week; agree your pattern with your manager.</w:t>
      </w:r>
    </w:p>
    <w:p>
      <w:pPr>
        <w:pStyle w:val="Heading2"/>
      </w:pPr>
      <w:r>
        <w:t>Attendance and Time Off</w:t>
      </w:r>
    </w:p>
    <w:p>
      <w:pPr>
        <w:jc w:val="both"/>
      </w:pPr>
      <w:r>
        <w:t>Record attendance and leave in the HR portal. Inform your manager as early as possible about unplanned absence.</w:t>
      </w:r>
    </w:p>
    <w:p>
      <w:pPr>
        <w:pStyle w:val="Heading2"/>
      </w:pPr>
      <w:r>
        <w:t>Dress Code</w:t>
      </w:r>
    </w:p>
    <w:p>
      <w:pPr>
        <w:jc w:val="both"/>
      </w:pPr>
      <w:r>
        <w:t>Smart casual in the office; follow client dress codes on client visits.</w:t>
      </w:r>
    </w:p>
    <w:p>
      <w:pPr>
        <w:pStyle w:val="Heading1"/>
      </w:pPr>
      <w:r>
        <w:t>Leave Policy</w:t>
      </w:r>
    </w:p>
    <w:p>
      <w:pPr>
        <w:pStyle w:val="Heading2"/>
      </w:pPr>
      <w:r>
        <w:t>Types of Leave</w:t>
      </w:r>
    </w:p>
    <w:p>
      <w:pPr>
        <w:jc w:val="both"/>
      </w:pPr>
      <w:r>
        <w:t>Leave entitlements per calendar year (prorated for joiners):</w:t>
      </w:r>
    </w:p>
    <w:p>
      <w:pPr>
        <w:pStyle w:val="ListBullet"/>
      </w:pPr>
      <w:r>
        <w:t>Earned leave: 18 days</w:t>
      </w:r>
    </w:p>
    <w:p>
      <w:pPr>
        <w:pStyle w:val="ListBullet"/>
      </w:pPr>
      <w:r>
        <w:t>Casual and sick leave: 12 days</w:t>
      </w:r>
    </w:p>
    <w:p>
      <w:pPr>
        <w:pStyle w:val="ListBullet"/>
      </w:pPr>
      <w:r>
        <w:t>Public holidays: as per the published list</w:t>
      </w:r>
    </w:p>
    <w:p>
      <w:pPr>
        <w:pStyle w:val="ListBullet"/>
      </w:pPr>
      <w:r>
        <w:t>Maternity and paternity leave: as per law and company policy</w:t>
      </w:r>
    </w:p>
    <w:p>
      <w:pPr>
        <w:pStyle w:val="ListBullet"/>
      </w:pPr>
      <w:r>
        <w:t>Bereavement leave: 3 days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Applying for leave</w:t>
            </w:r>
          </w:p>
          <w:p>
            <w:pPr>
              <w:spacing w:after="0"/>
            </w:pPr>
            <w:r>
              <w:t>Apply in the HR portal at least one week ahead for planned leave.</w:t>
            </w:r>
          </w:p>
        </w:tc>
      </w:tr>
    </w:tbl>
    <w:p>
      <w:pPr>
        <w:spacing w:after="40"/>
      </w:pPr>
    </w:p>
    <w:p>
      <w:pPr>
        <w:pStyle w:val="Heading1"/>
      </w:pPr>
      <w:r>
        <w:t>Pay and Benefits</w:t>
      </w:r>
    </w:p>
    <w:p>
      <w:pPr>
        <w:pStyle w:val="Heading2"/>
      </w:pPr>
      <w:r>
        <w:t>Salary and Payroll</w:t>
      </w:r>
    </w:p>
    <w:p>
      <w:pPr>
        <w:jc w:val="both"/>
      </w:pPr>
      <w:r>
        <w:t>Salaries are credited on the last working day of the month. Payslips are available in the HR portal.</w:t>
      </w:r>
    </w:p>
    <w:p>
      <w:pPr>
        <w:pStyle w:val="Heading2"/>
      </w:pPr>
      <w:r>
        <w:t>Benefits</w:t>
      </w:r>
    </w:p>
    <w:p>
      <w:pPr>
        <w:jc w:val="both"/>
      </w:pPr>
      <w:r>
        <w:t>Benefits include group health insurance for you and your family, term life cover, a learning allowance and an annual health check-up.</w:t>
      </w:r>
    </w:p>
    <w:p>
      <w:pPr>
        <w:pStyle w:val="Heading2"/>
      </w:pPr>
      <w:r>
        <w:t>Expense Reimbursement</w:t>
      </w:r>
    </w:p>
    <w:p>
      <w:pPr>
        <w:jc w:val="both"/>
      </w:pPr>
      <w:r>
        <w:t>Submit claims with receipts within 30 days. Follow the travel and expense policy for limits.</w:t>
      </w:r>
    </w:p>
    <w:p>
      <w:pPr>
        <w:pStyle w:val="Heading1"/>
      </w:pPr>
      <w:r>
        <w:t>Code of Conduct</w:t>
      </w:r>
    </w:p>
    <w:p>
      <w:pPr>
        <w:pStyle w:val="Heading2"/>
      </w:pPr>
      <w:r>
        <w:t>Professional Behaviour</w:t>
      </w:r>
    </w:p>
    <w:p>
      <w:pPr>
        <w:jc w:val="both"/>
      </w:pPr>
      <w:r>
        <w:t>Treat colleagues, clients and partners with respect. Discrimination, harassment and bullying are not tolerated.</w:t>
      </w:r>
    </w:p>
    <w:p>
      <w:pPr>
        <w:pStyle w:val="Heading2"/>
      </w:pPr>
      <w:r>
        <w:t>Confidentiality and Data Protection</w:t>
      </w:r>
    </w:p>
    <w:p>
      <w:pPr>
        <w:jc w:val="both"/>
      </w:pPr>
      <w:r>
        <w:t>Client data must be handled only for authorised purposes, stored on approved systems and never shared externally without permission.</w:t>
      </w:r>
    </w:p>
    <w:p>
      <w:pPr>
        <w:pStyle w:val="ListBullet"/>
      </w:pPr>
      <w:r>
        <w:t>Use company devices and accounts for work</w:t>
      </w:r>
    </w:p>
    <w:p>
      <w:pPr>
        <w:pStyle w:val="ListBullet"/>
      </w:pPr>
      <w:r>
        <w:t>Lock your screen when away</w:t>
      </w:r>
    </w:p>
    <w:p>
      <w:pPr>
        <w:pStyle w:val="ListBullet"/>
      </w:pPr>
      <w:r>
        <w:t>Report suspected data incidents immediately</w:t>
      </w:r>
    </w:p>
    <w:p>
      <w:pPr>
        <w:pStyle w:val="Heading2"/>
      </w:pPr>
      <w:r>
        <w:t>Conflicts of Interest</w:t>
      </w:r>
    </w:p>
    <w:p>
      <w:pPr>
        <w:jc w:val="both"/>
      </w:pPr>
      <w:r>
        <w:t>Declare any outside work or relationship that could conflict with your role.</w:t>
      </w:r>
    </w:p>
    <w:p>
      <w:pPr>
        <w:pStyle w:val="Heading2"/>
      </w:pPr>
      <w:r>
        <w:t>Prevention of Sexual Harassment</w:t>
      </w:r>
    </w:p>
    <w:p>
      <w:pPr>
        <w:jc w:val="both"/>
      </w:pPr>
      <w:r>
        <w:t>The company has an Internal Committee as required by law. Complaints are handled confidentially and without retaliation.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Need help?</w:t>
            </w:r>
          </w:p>
          <w:p>
            <w:pPr>
              <w:spacing w:after="0"/>
            </w:pPr>
            <w:r>
              <w:t>Contact the Internal Committee at ic@yourdomain.in or any member listed on the intranet.</w:t>
            </w:r>
          </w:p>
        </w:tc>
      </w:tr>
    </w:tbl>
    <w:p>
      <w:pPr>
        <w:spacing w:after="40"/>
      </w:pPr>
    </w:p>
    <w:p>
      <w:pPr>
        <w:pStyle w:val="Heading1"/>
      </w:pPr>
      <w:r>
        <w:t>Growth and Performance</w:t>
      </w:r>
    </w:p>
    <w:p>
      <w:pPr>
        <w:pStyle w:val="Heading2"/>
      </w:pPr>
      <w:r>
        <w:t>Goals and Reviews</w:t>
      </w:r>
    </w:p>
    <w:p>
      <w:pPr>
        <w:jc w:val="both"/>
      </w:pPr>
      <w:r>
        <w:t>Goals are set at the start of each half-year and reviewed mid-year and year-end.</w:t>
      </w:r>
    </w:p>
    <w:p>
      <w:pPr>
        <w:pStyle w:val="Heading2"/>
      </w:pPr>
      <w:r>
        <w:t>Learning</w:t>
      </w:r>
    </w:p>
    <w:p>
      <w:pPr>
        <w:jc w:val="both"/>
      </w:pPr>
      <w:r>
        <w:t>Each employee has an annual learning allowance for courses, books and certifications.</w:t>
      </w:r>
    </w:p>
    <w:p>
      <w:pPr>
        <w:pStyle w:val="Heading1"/>
      </w:pPr>
      <w:r>
        <w:t>Leaving the Company</w:t>
      </w:r>
    </w:p>
    <w:p>
      <w:pPr>
        <w:pStyle w:val="Heading2"/>
      </w:pPr>
      <w:r>
        <w:t>Resignation and Notice</w:t>
      </w:r>
    </w:p>
    <w:p>
      <w:pPr>
        <w:jc w:val="both"/>
      </w:pPr>
      <w:r>
        <w:t>Submit resignation in the HR portal. The notice period is as per your appointment letter.</w:t>
      </w:r>
    </w:p>
    <w:p>
      <w:pPr>
        <w:pStyle w:val="Heading2"/>
      </w:pPr>
      <w:r>
        <w:t>Exit Process</w:t>
      </w:r>
    </w:p>
    <w:p>
      <w:pPr>
        <w:jc w:val="both"/>
      </w:pPr>
      <w:r>
        <w:t>Return company assets, complete handover and attend an exit interview.</w:t>
      </w:r>
    </w:p>
    <w:p>
      <w:pPr>
        <w:pStyle w:val="Heading1"/>
      </w:pPr>
      <w:r>
        <w:t>Frequently Asked Questions</w:t>
      </w:r>
    </w:p>
    <w:p>
      <w:pPr>
        <w:keepNext/>
        <w:spacing w:after="20"/>
      </w:pPr>
      <w:r>
        <w:rPr>
          <w:b/>
          <w:color w:val="6D28D9"/>
        </w:rPr>
      </w:r>
      <w:r>
        <w:rPr>
          <w:b/>
        </w:rPr>
        <w:t>Can I carry forward unused leave?</w:t>
      </w:r>
    </w:p>
    <w:p>
      <w:pPr>
        <w:spacing w:after="120"/>
      </w:pPr>
      <w:r>
        <w:rPr>
          <w:color w:val="172033"/>
        </w:rPr>
        <w:t>Up to 10 days of earned leave can be carried forward to the next year.</w:t>
      </w:r>
    </w:p>
    <w:p>
      <w:pPr>
        <w:keepNext/>
        <w:spacing w:after="20"/>
      </w:pPr>
      <w:r>
        <w:rPr>
          <w:b/>
          <w:color w:val="6D28D9"/>
        </w:rPr>
      </w:r>
      <w:r>
        <w:rPr>
          <w:b/>
        </w:rPr>
        <w:t>Who do I contact for payroll queries?</w:t>
      </w:r>
    </w:p>
    <w:p>
      <w:pPr>
        <w:spacing w:after="120"/>
      </w:pPr>
      <w:r>
        <w:rPr>
          <w:color w:val="172033"/>
        </w:rPr>
        <w:t>Email payroll@yourdomain.in or raise a ticket in the HR portal.</w:t>
      </w:r>
    </w:p>
    <w:p>
      <w:pPr>
        <w:keepNext/>
        <w:spacing w:after="20"/>
      </w:pPr>
      <w:r>
        <w:rPr>
          <w:b/>
          <w:color w:val="6D28D9"/>
        </w:rPr>
      </w:r>
      <w:r>
        <w:rPr>
          <w:b/>
        </w:rPr>
        <w:t>Can I work fully remotely?</w:t>
      </w:r>
    </w:p>
    <w:p>
      <w:pPr>
        <w:spacing w:after="120"/>
      </w:pPr>
      <w:r>
        <w:rPr>
          <w:color w:val="172033"/>
        </w:rPr>
        <w:t>Fully remote arrangements need approval from your manager and the Head of People.</w:t>
      </w:r>
    </w:p>
    <w:p>
      <w:pPr>
        <w:pStyle w:val="Heading1"/>
      </w:pPr>
      <w:r>
        <w:t>Appendix A: Leave Application Form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Department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Type of leave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From date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To date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Reason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Manager approval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Appendix B: Expense Claim Form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Purpose of expense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Amount (₹)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Receipts attached (Y/N)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Manager approval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Appendix C: Induction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43"/>
        <w:gridCol w:w="5430"/>
        <w:gridCol w:w="814"/>
        <w:gridCol w:w="814"/>
        <w:gridCol w:w="2036"/>
      </w:tblGrid>
      <w:tr>
        <w:trPr>
          <w:tblHeader/>
        </w:trPr>
        <w:tc>
          <w:tcPr>
            <w:tcW w:type="dxa" w:w="543"/>
            <w:vAlign w:val="center"/>
            <w:shd w:val="clear" w:color="auto" w:fill="521EA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430"/>
            <w:vAlign w:val="center"/>
            <w:shd w:val="clear" w:color="auto" w:fill="521EA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814"/>
            <w:vAlign w:val="center"/>
            <w:shd w:val="clear" w:color="auto" w:fill="521EA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814"/>
            <w:vAlign w:val="center"/>
            <w:shd w:val="clear" w:color="auto" w:fill="521EA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2036"/>
            <w:vAlign w:val="center"/>
            <w:shd w:val="clear" w:color="auto" w:fill="521EA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IT accounts and devices issued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Policies read and acknowledged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Buddy assigned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Team introductions done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30-day goals agreed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Appendix D: Exit Clearance Form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Last working day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Laptop returned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Access cards returned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Handover completed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HR clearance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Brightline Analytics Pvt. Ltd. · HR-HB-001</w:t>
    </w:r>
    <w:r>
      <w:rPr>
        <w:color w:val="6F7581"/>
        <w:sz w:val="17"/>
      </w:rPr>
      <w:tab/>
      <w:t>Version 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98"/>
      <w:outlineLvl w:val="0"/>
      <w:pBdr>
        <w:left w:val="single" w:sz="24" w:space="10" w:color="6D28D9"/>
      </w:pBdr>
    </w:pPr>
    <w:rPr>
      <w:rFonts w:ascii="Arial" w:hAnsi="Arial" w:cs="Arial" w:eastAsia="Arial"/>
      <w:b/>
      <w:bCs/>
      <w:i w:val="0"/>
      <w:caps/>
      <w:color w:val="172033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6D28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