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16" w:lineRule="auto"/>
      </w:pPr>
      <w:r>
        <w:rPr>
          <w:rFonts w:ascii="Raleway" w:hAnsi="Raleway" w:cs="Raleway" w:eastAsia="Raleway"/>
          <w:b/>
          <w:i w:val="0"/>
          <w:color w:val="CED4E5"/>
          <w:sz w:val="192"/>
        </w:rPr>
        <w:t>2026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24" w:space="0" w:color="1F2328"/>
          <w:bottom w:val="single" w:sz="6" w:space="0" w:color="1F2328"/>
        </w:tblBorders>
        <w:tblCellMar>
          <w:top w:w="300" w:type="dxa"/>
          <w:left w:w="0" w:type="dxa"/>
          <w:bottom w:w="300" w:type="dxa"/>
          <w:right w:w="0" w:type="dxa"/>
        </w:tblCellMar>
      </w:tblPr>
      <w:tblGrid>
        <w:gridCol w:w="9639"/>
      </w:tblGrid>
      <w:tr>
        <w:tc>
          <w:tcPr>
            <w:tcW w:type="dxa" w:w="9638"/>
          </w:tcPr>
          <w:p>
            <w:pPr>
              <w:spacing w:after="320"/>
            </w:pPr>
            <w:r>
              <w:rPr>
                <w:b/>
                <w:i w:val="0"/>
                <w:caps/>
                <w:color w:val="1E3A8A"/>
                <w:sz w:val="20"/>
                <w:spacing w:val="60"/>
              </w:rPr>
              <w:t>Standard Operating Procedure</w:t>
            </w:r>
          </w:p>
          <w:p>
            <w:pPr>
              <w:pStyle w:val="Title"/>
            </w:pPr>
            <w:r>
              <w:rPr>
                <w:sz w:val="96"/>
              </w:rPr>
              <w:t>Customer Complaint Handling</w:t>
            </w:r>
          </w:p>
          <w:p>
            <w:r>
              <w:rPr>
                <w:b w:val="0"/>
                <w:i/>
                <w:color w:val="74777A"/>
                <w:sz w:val="30"/>
              </w:rPr>
              <w:t>Standard operating procedure for receiving, resolving and closing customer complaints</w:t>
            </w:r>
          </w:p>
        </w:tc>
      </w:tr>
    </w:tbl>
    <w:p>
      <w:pPr>
        <w:spacing w:after="400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FD0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DOCUMENT NO.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VERSION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EFFECTIVE DATE</w:t>
            </w:r>
          </w:p>
        </w:tc>
      </w:tr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SOP-CS-004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2.1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1 April 2026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Document Control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257"/>
      </w:tblGrid>
      <w:tr>
        <w:tc>
          <w:tcPr>
            <w:tcW w:type="dxa" w:w="2381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Document title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Customer Complaint Handling</w:t>
            </w:r>
          </w:p>
        </w:tc>
      </w:tr>
      <w:tr>
        <w:tc>
          <w:tcPr>
            <w:tcW w:type="dxa" w:w="2381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Document number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SOP-CS-004</w:t>
            </w:r>
          </w:p>
        </w:tc>
      </w:tr>
      <w:tr>
        <w:tc>
          <w:tcPr>
            <w:tcW w:type="dxa" w:w="2381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Version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2.1</w:t>
            </w:r>
          </w:p>
        </w:tc>
      </w:tr>
      <w:tr>
        <w:tc>
          <w:tcPr>
            <w:tcW w:type="dxa" w:w="2381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Effective date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1 April 2026</w:t>
            </w:r>
          </w:p>
        </w:tc>
      </w:tr>
      <w:tr>
        <w:tc>
          <w:tcPr>
            <w:tcW w:type="dxa" w:w="2381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Owner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Head of Client Success</w:t>
            </w:r>
          </w:p>
        </w:tc>
      </w:tr>
      <w:tr>
        <w:tc>
          <w:tcPr>
            <w:tcW w:type="dxa" w:w="2381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Approved by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Chief Operating Officer</w:t>
            </w:r>
          </w:p>
        </w:tc>
      </w:tr>
      <w:tr>
        <w:tc>
          <w:tcPr>
            <w:tcW w:type="dxa" w:w="2381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Review cycle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Every 12 months or when the process changes</w:t>
            </w:r>
          </w:p>
        </w:tc>
      </w:tr>
    </w:tbl>
    <w:p>
      <w:pPr>
        <w:spacing w:after="80"/>
      </w:pPr>
    </w:p>
    <w:p>
      <w:pPr>
        <w:pStyle w:val="Heading2"/>
      </w:pPr>
      <w:r>
        <w:t>Revision History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101"/>
        <w:gridCol w:w="1652"/>
        <w:gridCol w:w="4819"/>
        <w:gridCol w:w="2065"/>
      </w:tblGrid>
      <w:tr>
        <w:trPr>
          <w:tblHeader/>
        </w:trPr>
        <w:tc>
          <w:tcPr>
            <w:tcW w:type="dxa" w:w="1101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Version</w:t>
            </w:r>
          </w:p>
        </w:tc>
        <w:tc>
          <w:tcPr>
            <w:tcW w:type="dxa" w:w="1652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Date</w:t>
            </w:r>
          </w:p>
        </w:tc>
        <w:tc>
          <w:tcPr>
            <w:tcW w:type="dxa" w:w="4819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Description of change</w:t>
            </w:r>
          </w:p>
        </w:tc>
        <w:tc>
          <w:tcPr>
            <w:tcW w:type="dxa" w:w="2065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Approved by</w:t>
            </w:r>
          </w:p>
        </w:tc>
      </w:tr>
      <w:tr>
        <w:tc>
          <w:tcPr>
            <w:tcW w:type="dxa" w:w="11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1.0</w:t>
            </w:r>
          </w:p>
        </w:tc>
        <w:tc>
          <w:tcPr>
            <w:tcW w:type="dxa" w:w="165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 Jan 2024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First issue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COO</w:t>
            </w:r>
          </w:p>
        </w:tc>
      </w:tr>
      <w:tr>
        <w:tc>
          <w:tcPr>
            <w:tcW w:type="dxa" w:w="110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20"/>
              </w:rPr>
              <w:t>2.0</w:t>
            </w:r>
          </w:p>
        </w:tc>
        <w:tc>
          <w:tcPr>
            <w:tcW w:type="dxa" w:w="1652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20"/>
              </w:rPr>
              <w:t>15 Mar 2025</w:t>
            </w:r>
          </w:p>
        </w:tc>
        <w:tc>
          <w:tcPr>
            <w:tcW w:type="dxa" w:w="481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20"/>
              </w:rPr>
              <w:t>Added escalation matrix</w:t>
            </w:r>
          </w:p>
        </w:tc>
        <w:tc>
          <w:tcPr>
            <w:tcW w:type="dxa" w:w="206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20"/>
              </w:rPr>
              <w:t>COO</w:t>
            </w:r>
          </w:p>
        </w:tc>
      </w:tr>
      <w:tr>
        <w:tc>
          <w:tcPr>
            <w:tcW w:type="dxa" w:w="11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2.1</w:t>
            </w:r>
          </w:p>
        </w:tc>
        <w:tc>
          <w:tcPr>
            <w:tcW w:type="dxa" w:w="165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 Apr 2026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Updated response times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COO</w:t>
            </w:r>
          </w:p>
        </w:tc>
      </w:tr>
    </w:tbl>
    <w:p>
      <w:pPr>
        <w:spacing w:after="80"/>
      </w:pPr>
    </w:p>
    <w:p>
      <w:pPr>
        <w:pStyle w:val="Caption"/>
      </w:pPr>
      <w:r>
        <w:t>Uncontrolled when printed. Always check the shared drive for the latest version.</w:t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Purpose</w:t>
      </w:r>
      <w:r>
        <w:tab/>
        <w:t>4</w:t>
      </w:r>
    </w:p>
    <w:p>
      <w:pPr>
        <w:pStyle w:val="TOC1"/>
      </w:pPr>
      <w:r>
        <w:t>Scope</w:t>
      </w:r>
      <w:r>
        <w:tab/>
        <w:t>5</w:t>
      </w:r>
    </w:p>
    <w:p>
      <w:pPr>
        <w:pStyle w:val="TOC1"/>
      </w:pPr>
      <w:r>
        <w:t>Definitions</w:t>
      </w:r>
      <w:r>
        <w:tab/>
        <w:t>6</w:t>
      </w:r>
    </w:p>
    <w:p>
      <w:pPr>
        <w:pStyle w:val="TOC1"/>
      </w:pPr>
      <w:r>
        <w:t>Roles and Responsibilities</w:t>
      </w:r>
      <w:r>
        <w:tab/>
        <w:t>7</w:t>
      </w:r>
    </w:p>
    <w:p>
      <w:pPr>
        <w:pStyle w:val="TOC1"/>
      </w:pPr>
      <w:r>
        <w:t>Procedure</w:t>
      </w:r>
      <w:r>
        <w:tab/>
        <w:t>8</w:t>
      </w:r>
    </w:p>
    <w:p>
      <w:pPr>
        <w:pStyle w:val="TOC2"/>
      </w:pPr>
      <w:r>
        <w:t>Receiving a Complaint</w:t>
      </w:r>
      <w:r>
        <w:tab/>
        <w:t>8</w:t>
      </w:r>
    </w:p>
    <w:p>
      <w:pPr>
        <w:pStyle w:val="TOC2"/>
      </w:pPr>
      <w:r>
        <w:t>Acknowledging</w:t>
      </w:r>
      <w:r>
        <w:tab/>
        <w:t>8</w:t>
      </w:r>
    </w:p>
    <w:p>
      <w:pPr>
        <w:pStyle w:val="TOC2"/>
      </w:pPr>
      <w:r>
        <w:t>Investigating and Resolving</w:t>
      </w:r>
      <w:r>
        <w:tab/>
        <w:t>8</w:t>
      </w:r>
    </w:p>
    <w:p>
      <w:pPr>
        <w:pStyle w:val="TOC2"/>
      </w:pPr>
      <w:r>
        <w:t>Closing</w:t>
      </w:r>
      <w:r>
        <w:tab/>
        <w:t>8</w:t>
      </w:r>
    </w:p>
    <w:p>
      <w:pPr>
        <w:pStyle w:val="TOC1"/>
      </w:pPr>
      <w:r>
        <w:t>RACI Matrix</w:t>
      </w:r>
      <w:r>
        <w:tab/>
        <w:t>9</w:t>
      </w:r>
    </w:p>
    <w:p>
      <w:pPr>
        <w:pStyle w:val="TOC1"/>
      </w:pPr>
      <w:r>
        <w:t>Records and Forms</w:t>
      </w:r>
      <w:r>
        <w:tab/>
        <w:t>10</w:t>
      </w:r>
    </w:p>
    <w:p>
      <w:pPr>
        <w:pStyle w:val="TOC1"/>
      </w:pPr>
      <w:r>
        <w:t>Performance Indicators</w:t>
      </w:r>
      <w:r>
        <w:tab/>
        <w:t>11</w:t>
      </w:r>
    </w:p>
    <w:p>
      <w:pPr>
        <w:pStyle w:val="TOC1"/>
      </w:pPr>
      <w:r>
        <w:t>Appendix A: Complaint Escalation Form</w:t>
      </w:r>
      <w:r>
        <w:tab/>
        <w:t>12</w:t>
      </w:r>
    </w:p>
    <w:p>
      <w:pPr>
        <w:pStyle w:val="TOC1"/>
      </w:pPr>
      <w:r>
        <w:t>Appendix B: Monthly Review Checklist</w:t>
      </w:r>
      <w:r>
        <w:tab/>
        <w:t>13</w:t>
      </w:r>
    </w:p>
    <w:p>
      <w:pPr>
        <w:pStyle w:val="TOC1"/>
      </w:pPr>
      <w:r>
        <w:t>Acknowledgement</w:t>
      </w:r>
      <w:r>
        <w:tab/>
        <w:t>14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Purpose</w:t>
      </w:r>
    </w:p>
    <w:p>
      <w:pPr>
        <w:jc w:val="both"/>
      </w:pPr>
      <w:r>
        <w:t>To make sure every customer complaint is recorded, acknowledged, investigated and resolved consistently and on time, and that lessons are used to improve our products and services.</w:t>
      </w:r>
    </w:p>
    <w:p>
      <w:pPr>
        <w:pStyle w:val="Heading1"/>
      </w:pPr>
      <w:r>
        <w:t>Scope</w:t>
      </w:r>
    </w:p>
    <w:p>
      <w:pPr>
        <w:jc w:val="both"/>
      </w:pPr>
      <w:r>
        <w:t>This procedure applies to all complaints received from customers by email, phone, chat or the support portal, for all products and services. It does not cover internal employee grievances.</w:t>
      </w:r>
    </w:p>
    <w:p>
      <w:pPr>
        <w:pStyle w:val="Heading1"/>
      </w:pPr>
      <w:r>
        <w:t>Definitions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Term</w:t>
            </w:r>
          </w:p>
        </w:tc>
        <w:tc>
          <w:tcPr>
            <w:tcW w:type="dxa" w:w="6884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Definition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Complaint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Any expression of dissatisfaction from a customer that requires a response</w:t>
            </w:r>
          </w:p>
        </w:tc>
      </w:tr>
      <w:tr>
        <w:tc>
          <w:tcPr>
            <w:tcW w:type="dxa" w:w="275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20"/>
              </w:rPr>
              <w:t>Ticket</w:t>
            </w:r>
          </w:p>
        </w:tc>
        <w:tc>
          <w:tcPr>
            <w:tcW w:type="dxa" w:w="688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20"/>
              </w:rPr>
              <w:t>The record of a complaint in the support system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SLA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Service level agreement: the agreed response and resolution time</w:t>
            </w:r>
          </w:p>
        </w:tc>
      </w:tr>
      <w:tr>
        <w:tc>
          <w:tcPr>
            <w:tcW w:type="dxa" w:w="275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20"/>
              </w:rPr>
              <w:t>Escalation</w:t>
            </w:r>
          </w:p>
        </w:tc>
        <w:tc>
          <w:tcPr>
            <w:tcW w:type="dxa" w:w="688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20"/>
              </w:rPr>
              <w:t>Moving a ticket to a higher level of authority</w:t>
            </w:r>
          </w:p>
        </w:tc>
      </w:tr>
    </w:tbl>
    <w:p>
      <w:pPr>
        <w:spacing w:after="80"/>
      </w:pPr>
    </w:p>
    <w:p>
      <w:pPr>
        <w:pStyle w:val="Heading1"/>
      </w:pPr>
      <w:r>
        <w:t>Roles and Responsibilities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6884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Responsibilities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Support executive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Logs, acknowledges and resolves first-level complaints</w:t>
            </w:r>
          </w:p>
        </w:tc>
      </w:tr>
      <w:tr>
        <w:tc>
          <w:tcPr>
            <w:tcW w:type="dxa" w:w="275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20"/>
              </w:rPr>
              <w:t>Team lead</w:t>
            </w:r>
          </w:p>
        </w:tc>
        <w:tc>
          <w:tcPr>
            <w:tcW w:type="dxa" w:w="688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20"/>
              </w:rPr>
              <w:t>Monitors SLAs, handles escalations, approves goodwill gestures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Product owner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Investigates product defects and plans fixes</w:t>
            </w:r>
          </w:p>
        </w:tc>
      </w:tr>
      <w:tr>
        <w:tc>
          <w:tcPr>
            <w:tcW w:type="dxa" w:w="275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20"/>
              </w:rPr>
              <w:t>Head of Client Success</w:t>
            </w:r>
          </w:p>
        </w:tc>
        <w:tc>
          <w:tcPr>
            <w:tcW w:type="dxa" w:w="688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20"/>
              </w:rPr>
              <w:t>Owns the procedure and reviews monthly reports</w:t>
            </w:r>
          </w:p>
        </w:tc>
      </w:tr>
    </w:tbl>
    <w:p>
      <w:pPr>
        <w:spacing w:after="80"/>
      </w:pPr>
    </w:p>
    <w:p>
      <w:pPr>
        <w:pStyle w:val="Heading1"/>
      </w:pPr>
      <w:r>
        <w:t>Procedure</w:t>
      </w:r>
    </w:p>
    <w:p>
      <w:pPr>
        <w:pStyle w:val="Heading2"/>
      </w:pPr>
      <w:r>
        <w:t>Receiving a Complaint</w:t>
      </w:r>
    </w:p>
    <w:p>
      <w:pPr>
        <w:jc w:val="both"/>
      </w:pPr>
      <w:r>
        <w:t>All complaints must be logged in the support system within one hour of receipt.</w:t>
      </w:r>
    </w:p>
    <w:p>
      <w:pPr>
        <w:pStyle w:val="ListNumber"/>
      </w:pPr>
      <w:r>
        <w:t>Create a ticket with customer name, contact, product and description.</w:t>
      </w:r>
    </w:p>
    <w:p>
      <w:pPr>
        <w:pStyle w:val="ListNumber"/>
      </w:pPr>
      <w:r>
        <w:t>Classify severity: critical, high, medium or low.</w:t>
      </w:r>
    </w:p>
    <w:p>
      <w:pPr>
        <w:pStyle w:val="ListNumber"/>
      </w:pPr>
      <w:r>
        <w:t>Attach screenshots, emails or call notes.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8EBF3"/>
            <w:tcBorders>
              <w:left w:val="single" w:sz="36" w:space="0" w:color="1E3A8A"/>
            </w:tcBorders>
          </w:tcPr>
          <w:p>
            <w:pPr>
              <w:spacing w:after="60"/>
            </w:pPr>
            <w:r>
              <w:rPr>
                <w:b/>
                <w:color w:val="1E3A8A"/>
              </w:rPr>
              <w:t>Note</w:t>
            </w:r>
          </w:p>
          <w:p>
            <w:pPr>
              <w:spacing w:after="0"/>
            </w:pPr>
            <w:r>
              <w:t>Never close a ticket without the customer’s confirmation or two follow-up attempts.</w:t>
            </w:r>
          </w:p>
        </w:tc>
      </w:tr>
    </w:tbl>
    <w:p>
      <w:pPr>
        <w:spacing w:after="40"/>
      </w:pPr>
    </w:p>
    <w:p>
      <w:pPr>
        <w:pStyle w:val="Heading2"/>
      </w:pPr>
      <w:r>
        <w:t>Acknowledging</w:t>
      </w:r>
    </w:p>
    <w:p>
      <w:pPr>
        <w:jc w:val="both"/>
      </w:pPr>
      <w:r>
        <w:t>Customers must know their complaint has been received and who is handling it.</w:t>
      </w:r>
    </w:p>
    <w:p>
      <w:pPr>
        <w:pStyle w:val="ListNumber"/>
      </w:pPr>
      <w:r>
        <w:t>Send an acknowledgement with the ticket number within the response time.</w:t>
      </w:r>
    </w:p>
    <w:p>
      <w:pPr>
        <w:pStyle w:val="ListNumber"/>
      </w:pPr>
      <w:r>
        <w:t>Give an expected resolution time.</w:t>
      </w:r>
    </w:p>
    <w:p>
      <w:pPr>
        <w:pStyle w:val="ListNumber"/>
      </w:pPr>
      <w:r>
        <w:t>Use the approved acknowledgement template.</w:t>
      </w:r>
    </w:p>
    <w:p>
      <w:pPr>
        <w:pStyle w:val="Heading2"/>
      </w:pPr>
      <w:r>
        <w:t>Investigating and Resolving</w:t>
      </w:r>
    </w:p>
    <w:p>
      <w:pPr>
        <w:pStyle w:val="ListNumber"/>
      </w:pPr>
      <w:r>
        <w:t>Reproduce the issue where possible.</w:t>
      </w:r>
    </w:p>
    <w:p>
      <w:pPr>
        <w:pStyle w:val="ListNumber"/>
      </w:pPr>
      <w:r>
        <w:t>Check the knowledge base for known solutions.</w:t>
      </w:r>
    </w:p>
    <w:p>
      <w:pPr>
        <w:pStyle w:val="ListNumber"/>
      </w:pPr>
      <w:r>
        <w:t>Escalate to the product owner if a defect is suspected.</w:t>
      </w:r>
    </w:p>
    <w:p>
      <w:pPr>
        <w:pStyle w:val="ListNumber"/>
      </w:pPr>
      <w:r>
        <w:t>Update the customer at least every 24 hours for open critical tickets.</w:t>
      </w:r>
    </w:p>
    <w:p>
      <w:pPr>
        <w:pStyle w:val="ListNumber"/>
      </w:pPr>
      <w:r>
        <w:t>Apply the fix or workaround and inform the customer.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8EBF3"/>
            <w:tcBorders>
              <w:left w:val="single" w:sz="36" w:space="0" w:color="1E3A8A"/>
            </w:tcBorders>
          </w:tcPr>
          <w:p>
            <w:pPr>
              <w:spacing w:after="60"/>
            </w:pPr>
            <w:r>
              <w:rPr>
                <w:b/>
                <w:color w:val="1E3A8A"/>
              </w:rPr>
              <w:t>Escalation</w:t>
            </w:r>
          </w:p>
          <w:p>
            <w:pPr>
              <w:spacing w:after="0"/>
            </w:pPr>
            <w:r>
              <w:t>Escalate to the team lead if the SLA is at risk or the customer requests escalation.</w:t>
            </w:r>
          </w:p>
        </w:tc>
      </w:tr>
    </w:tbl>
    <w:p>
      <w:pPr>
        <w:spacing w:after="40"/>
      </w:pPr>
    </w:p>
    <w:p>
      <w:pPr>
        <w:pStyle w:val="Heading2"/>
      </w:pPr>
      <w:r>
        <w:t>Closing</w:t>
      </w:r>
    </w:p>
    <w:p>
      <w:pPr>
        <w:pStyle w:val="ListNumber"/>
      </w:pPr>
      <w:r>
        <w:t>Confirm resolution with the customer.</w:t>
      </w:r>
    </w:p>
    <w:p>
      <w:pPr>
        <w:pStyle w:val="ListNumber"/>
      </w:pPr>
      <w:r>
        <w:t>Record the root cause and resolution in the ticket.</w:t>
      </w:r>
    </w:p>
    <w:p>
      <w:pPr>
        <w:pStyle w:val="ListNumber"/>
      </w:pPr>
      <w:r>
        <w:t>Send the satisfaction survey.</w:t>
      </w:r>
    </w:p>
    <w:p>
      <w:pPr>
        <w:pStyle w:val="ListNumber"/>
      </w:pPr>
      <w:r>
        <w:t>Close the ticket.</w:t>
      </w:r>
    </w:p>
    <w:p>
      <w:pPr>
        <w:pStyle w:val="Heading1"/>
      </w:pPr>
      <w:r>
        <w:t>RACI Matrix</w:t>
      </w:r>
    </w:p>
    <w:p>
      <w:r>
        <w:rPr>
          <w:i/>
          <w:color w:val="74777A"/>
        </w:rPr>
        <w:t>R = Responsible, A = Accountable, C = Consulted, I = Informed.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type="dxa" w:w="1928"/>
            <w:vAlign w:val="center"/>
            <w:shd w:val="clear" w:color="auto" w:fill="1E3A8A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Activity</w:t>
            </w:r>
          </w:p>
        </w:tc>
        <w:tc>
          <w:tcPr>
            <w:tcW w:type="dxa" w:w="1928"/>
            <w:vAlign w:val="center"/>
            <w:shd w:val="clear" w:color="auto" w:fill="1E3A8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Executive</w:t>
            </w:r>
          </w:p>
        </w:tc>
        <w:tc>
          <w:tcPr>
            <w:tcW w:type="dxa" w:w="1928"/>
            <w:vAlign w:val="center"/>
            <w:shd w:val="clear" w:color="auto" w:fill="1E3A8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Team lead</w:t>
            </w:r>
          </w:p>
        </w:tc>
        <w:tc>
          <w:tcPr>
            <w:tcW w:type="dxa" w:w="1928"/>
            <w:vAlign w:val="center"/>
            <w:shd w:val="clear" w:color="auto" w:fill="1E3A8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Product owner</w:t>
            </w:r>
          </w:p>
        </w:tc>
        <w:tc>
          <w:tcPr>
            <w:tcW w:type="dxa" w:w="1928"/>
            <w:vAlign w:val="center"/>
            <w:shd w:val="clear" w:color="auto" w:fill="1E3A8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Head CS</w:t>
            </w:r>
          </w:p>
        </w:tc>
      </w:tr>
      <w:tr>
        <w:tc>
          <w:tcPr>
            <w:tcW w:type="dxa" w:w="192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Log complaint</w:t>
            </w:r>
          </w:p>
        </w:tc>
        <w:tc>
          <w:tcPr>
            <w:tcW w:type="dxa" w:w="19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R</w:t>
            </w:r>
          </w:p>
        </w:tc>
        <w:tc>
          <w:tcPr>
            <w:tcW w:type="dxa" w:w="19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I</w:t>
            </w:r>
          </w:p>
        </w:tc>
        <w:tc>
          <w:tcPr>
            <w:tcW w:type="dxa" w:w="19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19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1928"/>
            <w:vAlign w:val="center"/>
            <w:shd w:val="clear" w:color="auto" w:fill="E8EBF3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Acknowledge</w:t>
            </w:r>
          </w:p>
        </w:tc>
        <w:tc>
          <w:tcPr>
            <w:tcW w:type="dxa" w:w="1928"/>
            <w:vAlign w:val="center"/>
            <w:shd w:val="clear" w:color="auto" w:fill="E8EBF3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R</w:t>
            </w:r>
          </w:p>
        </w:tc>
        <w:tc>
          <w:tcPr>
            <w:tcW w:type="dxa" w:w="1928"/>
            <w:vAlign w:val="center"/>
            <w:shd w:val="clear" w:color="auto" w:fill="E8EBF3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A</w:t>
            </w:r>
          </w:p>
        </w:tc>
        <w:tc>
          <w:tcPr>
            <w:tcW w:type="dxa" w:w="1928"/>
            <w:vAlign w:val="center"/>
            <w:shd w:val="clear" w:color="auto" w:fill="E8EBF3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1928"/>
            <w:vAlign w:val="center"/>
            <w:shd w:val="clear" w:color="auto" w:fill="E8EBF3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192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Investigate defect</w:t>
            </w:r>
          </w:p>
        </w:tc>
        <w:tc>
          <w:tcPr>
            <w:tcW w:type="dxa" w:w="19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C</w:t>
            </w:r>
          </w:p>
        </w:tc>
        <w:tc>
          <w:tcPr>
            <w:tcW w:type="dxa" w:w="19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A</w:t>
            </w:r>
          </w:p>
        </w:tc>
        <w:tc>
          <w:tcPr>
            <w:tcW w:type="dxa" w:w="19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R</w:t>
            </w:r>
          </w:p>
        </w:tc>
        <w:tc>
          <w:tcPr>
            <w:tcW w:type="dxa" w:w="19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I</w:t>
            </w:r>
          </w:p>
        </w:tc>
      </w:tr>
      <w:tr>
        <w:tc>
          <w:tcPr>
            <w:tcW w:type="dxa" w:w="1928"/>
            <w:vAlign w:val="center"/>
            <w:shd w:val="clear" w:color="auto" w:fill="E8EBF3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Escalation</w:t>
            </w:r>
          </w:p>
        </w:tc>
        <w:tc>
          <w:tcPr>
            <w:tcW w:type="dxa" w:w="1928"/>
            <w:vAlign w:val="center"/>
            <w:shd w:val="clear" w:color="auto" w:fill="E8EBF3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I</w:t>
            </w:r>
          </w:p>
        </w:tc>
        <w:tc>
          <w:tcPr>
            <w:tcW w:type="dxa" w:w="1928"/>
            <w:vAlign w:val="center"/>
            <w:shd w:val="clear" w:color="auto" w:fill="E8EBF3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R</w:t>
            </w:r>
          </w:p>
        </w:tc>
        <w:tc>
          <w:tcPr>
            <w:tcW w:type="dxa" w:w="1928"/>
            <w:vAlign w:val="center"/>
            <w:shd w:val="clear" w:color="auto" w:fill="E8EBF3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C</w:t>
            </w:r>
          </w:p>
        </w:tc>
        <w:tc>
          <w:tcPr>
            <w:tcW w:type="dxa" w:w="1928"/>
            <w:vAlign w:val="center"/>
            <w:shd w:val="clear" w:color="auto" w:fill="E8EBF3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A</w:t>
            </w:r>
          </w:p>
        </w:tc>
      </w:tr>
      <w:tr>
        <w:tc>
          <w:tcPr>
            <w:tcW w:type="dxa" w:w="192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Monthly review</w:t>
            </w:r>
          </w:p>
        </w:tc>
        <w:tc>
          <w:tcPr>
            <w:tcW w:type="dxa" w:w="19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I</w:t>
            </w:r>
          </w:p>
        </w:tc>
        <w:tc>
          <w:tcPr>
            <w:tcW w:type="dxa" w:w="19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R</w:t>
            </w:r>
          </w:p>
        </w:tc>
        <w:tc>
          <w:tcPr>
            <w:tcW w:type="dxa" w:w="19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C</w:t>
            </w:r>
          </w:p>
        </w:tc>
        <w:tc>
          <w:tcPr>
            <w:tcW w:type="dxa" w:w="19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A</w:t>
            </w:r>
          </w:p>
        </w:tc>
      </w:tr>
    </w:tbl>
    <w:p>
      <w:pPr>
        <w:spacing w:after="80"/>
      </w:pPr>
    </w:p>
    <w:p>
      <w:pPr>
        <w:pStyle w:val="Heading1"/>
      </w:pPr>
      <w:r>
        <w:t>Records and Forms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131"/>
        <w:gridCol w:w="2754"/>
        <w:gridCol w:w="2754"/>
      </w:tblGrid>
      <w:tr>
        <w:trPr>
          <w:tblHeader/>
        </w:trPr>
        <w:tc>
          <w:tcPr>
            <w:tcW w:type="dxa" w:w="4130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Record / form</w:t>
            </w:r>
          </w:p>
        </w:tc>
        <w:tc>
          <w:tcPr>
            <w:tcW w:type="dxa" w:w="2754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Kept by</w:t>
            </w:r>
          </w:p>
        </w:tc>
        <w:tc>
          <w:tcPr>
            <w:tcW w:type="dxa" w:w="2754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Retention</w:t>
            </w:r>
          </w:p>
        </w:tc>
      </w:tr>
      <w:tr>
        <w:tc>
          <w:tcPr>
            <w:tcW w:type="dxa" w:w="413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Complaint ticket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Support system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 years</w:t>
            </w:r>
          </w:p>
        </w:tc>
      </w:tr>
      <w:tr>
        <w:tc>
          <w:tcPr>
            <w:tcW w:type="dxa" w:w="4130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20"/>
              </w:rPr>
              <w:t>Monthly complaint report</w:t>
            </w:r>
          </w:p>
        </w:tc>
        <w:tc>
          <w:tcPr>
            <w:tcW w:type="dxa" w:w="275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20"/>
              </w:rPr>
              <w:t>Head of Client Success</w:t>
            </w:r>
          </w:p>
        </w:tc>
        <w:tc>
          <w:tcPr>
            <w:tcW w:type="dxa" w:w="275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20"/>
              </w:rPr>
              <w:t>3 years</w:t>
            </w:r>
          </w:p>
        </w:tc>
      </w:tr>
      <w:tr>
        <w:tc>
          <w:tcPr>
            <w:tcW w:type="dxa" w:w="413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Satisfaction survey results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Support system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 years</w:t>
            </w:r>
          </w:p>
        </w:tc>
      </w:tr>
    </w:tbl>
    <w:p>
      <w:pPr>
        <w:spacing w:after="80"/>
      </w:pPr>
    </w:p>
    <w:p>
      <w:pPr>
        <w:pStyle w:val="Heading1"/>
      </w:pPr>
      <w:r>
        <w:t>Performance Indicators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819"/>
        <w:gridCol w:w="2409"/>
        <w:gridCol w:w="2409"/>
      </w:tblGrid>
      <w:tr>
        <w:trPr>
          <w:tblHeader/>
        </w:trPr>
        <w:tc>
          <w:tcPr>
            <w:tcW w:type="dxa" w:w="4819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Indicator</w:t>
            </w:r>
          </w:p>
        </w:tc>
        <w:tc>
          <w:tcPr>
            <w:tcW w:type="dxa" w:w="2409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2409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Frequency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First response within SLA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95%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Weekly</w:t>
            </w:r>
          </w:p>
        </w:tc>
      </w:tr>
      <w:tr>
        <w:tc>
          <w:tcPr>
            <w:tcW w:type="dxa" w:w="481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20"/>
              </w:rPr>
              <w:t>Resolution within SLA</w:t>
            </w:r>
          </w:p>
        </w:tc>
        <w:tc>
          <w:tcPr>
            <w:tcW w:type="dxa" w:w="24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20"/>
              </w:rPr>
              <w:t>90%</w:t>
            </w:r>
          </w:p>
        </w:tc>
        <w:tc>
          <w:tcPr>
            <w:tcW w:type="dxa" w:w="24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20"/>
              </w:rPr>
              <w:t>Weekly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Customer satisfaction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4.3 / 5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Monthly</w:t>
            </w:r>
          </w:p>
        </w:tc>
      </w:tr>
      <w:tr>
        <w:tc>
          <w:tcPr>
            <w:tcW w:type="dxa" w:w="481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20"/>
              </w:rPr>
              <w:t>Repeat complaints</w:t>
            </w:r>
          </w:p>
        </w:tc>
        <w:tc>
          <w:tcPr>
            <w:tcW w:type="dxa" w:w="24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20"/>
              </w:rPr>
              <w:t>&lt; 5%</w:t>
            </w:r>
          </w:p>
        </w:tc>
        <w:tc>
          <w:tcPr>
            <w:tcW w:type="dxa" w:w="24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20"/>
              </w:rPr>
              <w:t>Monthly</w:t>
            </w:r>
          </w:p>
        </w:tc>
      </w:tr>
    </w:tbl>
    <w:p>
      <w:pPr>
        <w:spacing w:after="80"/>
      </w:pPr>
    </w:p>
    <w:p>
      <w:pPr>
        <w:pStyle w:val="Heading1"/>
      </w:pPr>
      <w:r>
        <w:t>Appendix A: Complaint Escalation Form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835"/>
        <w:gridCol w:w="6804"/>
      </w:tblGrid>
      <w:tr>
        <w:tc>
          <w:tcPr>
            <w:tcW w:type="dxa" w:w="2835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Ticket number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Customer name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Date raised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Severity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Reason for escalation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Action requested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1"/>
      </w:pPr>
      <w:r>
        <w:t>Appendix B: Monthly Review Checklist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43"/>
        <w:gridCol w:w="5430"/>
        <w:gridCol w:w="814"/>
        <w:gridCol w:w="814"/>
        <w:gridCol w:w="2036"/>
      </w:tblGrid>
      <w:tr>
        <w:trPr>
          <w:tblHeader/>
        </w:trPr>
        <w:tc>
          <w:tcPr>
            <w:tcW w:type="dxa" w:w="543"/>
            <w:vAlign w:val="center"/>
            <w:shd w:val="clear" w:color="auto" w:fill="1E3A8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5430"/>
            <w:vAlign w:val="center"/>
            <w:shd w:val="clear" w:color="auto" w:fill="1E3A8A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Check</w:t>
            </w:r>
          </w:p>
        </w:tc>
        <w:tc>
          <w:tcPr>
            <w:tcW w:type="dxa" w:w="814"/>
            <w:vAlign w:val="center"/>
            <w:shd w:val="clear" w:color="auto" w:fill="1E3A8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Yes</w:t>
            </w:r>
          </w:p>
        </w:tc>
        <w:tc>
          <w:tcPr>
            <w:tcW w:type="dxa" w:w="814"/>
            <w:vAlign w:val="center"/>
            <w:shd w:val="clear" w:color="auto" w:fill="1E3A8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No</w:t>
            </w:r>
          </w:p>
        </w:tc>
        <w:tc>
          <w:tcPr>
            <w:tcW w:type="dxa" w:w="2036"/>
            <w:vAlign w:val="center"/>
            <w:shd w:val="clear" w:color="auto" w:fill="1E3A8A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Remarks</w:t>
            </w:r>
          </w:p>
        </w:tc>
      </w:tr>
      <w:tr>
        <w:tc>
          <w:tcPr>
            <w:tcW w:type="dxa" w:w="54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54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All tickets older than SLA reviewed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4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54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Root causes categorised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4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54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Top three issues shared with product team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4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54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Training needs identified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4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54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Report shared with leadership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1"/>
      </w:pPr>
      <w:r>
        <w:t>Acknowledgement</w:t>
      </w:r>
    </w:p>
    <w:p>
      <w:r>
        <w:t>I confirm that I have read and understood this document and will follow it.</w:t>
      </w:r>
    </w:p>
    <w:p>
      <w:pPr>
        <w:spacing w:after="40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Name and signature</w:t>
            </w:r>
          </w:p>
        </w:tc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Date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4777A"/>
        <w:sz w:val="18"/>
      </w:rPr>
      <w:t xml:space="preserve">Page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  <w:r>
      <w:rPr>
        <w:color w:val="74777A"/>
        <w:sz w:val="18"/>
      </w:rPr>
      <w:t xml:space="preserve"> of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NUMPAGES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ECFD0"/>
      </w:pBdr>
    </w:pPr>
    <w:r/>
    <w:r>
      <w:rPr>
        <w:caps w:val="0"/>
        <w:color w:val="74777A"/>
        <w:sz w:val="17"/>
      </w:rPr>
      <w:t>Northwind Software Labs · SOP-CS-004</w:t>
    </w:r>
    <w:r>
      <w:rPr>
        <w:color w:val="74777A"/>
        <w:sz w:val="17"/>
      </w:rPr>
      <w:tab/>
      <w:t>Version 2.1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1F2328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ind w:left="170"/>
      <w:outlineLvl w:val="0"/>
      <w:shd w:val="clear" w:color="auto" w:fill="CED4E5"/>
      <w:pBdr>
        <w:left w:val="single" w:sz="36" w:space="8" w:color="1E3A8A"/>
      </w:pBdr>
    </w:pPr>
    <w:rPr>
      <w:rFonts w:ascii="Raleway" w:hAnsi="Raleway" w:cs="Raleway" w:eastAsia="Raleway"/>
      <w:b/>
      <w:bCs/>
      <w:i w:val="0"/>
      <w:caps/>
      <w:color w:val="1F2328"/>
      <w:sz w:val="40"/>
      <w:szCs w:val="40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Raleway" w:hAnsi="Raleway" w:cs="Raleway" w:eastAsia="Raleway"/>
      <w:b/>
      <w:bCs/>
      <w:i w:val="0"/>
      <w:color w:val="1F2328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Raleway" w:hAnsi="Raleway" w:cs="Raleway" w:eastAsia="Raleway"/>
      <w:b/>
      <w:bCs/>
      <w:i w:val="0"/>
      <w:color w:val="1F2328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Raleway" w:hAnsi="Raleway" w:cs="Raleway" w:eastAsia="Raleway"/>
      <w:b/>
      <w:color w:val="1F2328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Raleway" w:hAnsi="Raleway" w:cs="Raleway" w:eastAsia="Raleway"/>
      <w:i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Raleway" w:hAnsi="Raleway" w:cs="Raleway" w:eastAsia="Raleway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