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4706"/>
        <w:gridCol w:w="2823"/>
        <w:gridCol w:w="1882"/>
      </w:tblGrid>
      <w:tr>
        <w:trPr>
          <w:trHeight w:val="1928" w:hRule="exact"/>
        </w:trPr>
        <w:tc>
          <w:tcPr>
            <w:tcW w:type="dxa" w:w="4706"/>
            <w:shd w:val="clear" w:color="auto" w:fill="EDDAD4"/>
          </w:tcPr>
          <w:p/>
        </w:tc>
        <w:tc>
          <w:tcPr>
            <w:tcW w:type="dxa" w:w="2823"/>
            <w:shd w:val="clear" w:color="auto" w:fill="EDDAD4"/>
          </w:tcPr>
          <w:p/>
        </w:tc>
        <w:tc>
          <w:tcPr>
            <w:tcW w:type="dxa" w:w="1882"/>
            <w:shd w:val="clear" w:color="auto" w:fill="D9B2A5"/>
          </w:tcPr>
          <w:p/>
        </w:tc>
      </w:tr>
      <w:tr>
        <w:trPr>
          <w:trHeight w:val="1417" w:hRule="exact"/>
        </w:trPr>
        <w:tc>
          <w:tcPr>
            <w:tcW w:type="dxa" w:w="4706"/>
            <w:shd w:val="clear" w:color="auto" w:fill="EDDAD4"/>
          </w:tcPr>
          <w:p/>
        </w:tc>
        <w:tc>
          <w:tcPr>
            <w:tcW w:type="dxa" w:w="2823"/>
            <w:shd w:val="clear" w:color="auto" w:fill="D9B2A5"/>
          </w:tcPr>
          <w:p/>
        </w:tc>
        <w:tc>
          <w:tcPr>
            <w:tcW w:type="dxa" w:w="1882"/>
            <w:shd w:val="clear" w:color="auto" w:fill="C28571"/>
          </w:tcPr>
          <w:p/>
        </w:tc>
      </w:tr>
      <w:tr>
        <w:trPr>
          <w:trHeight w:val="1077" w:hRule="exact"/>
        </w:trPr>
        <w:tc>
          <w:tcPr>
            <w:tcW w:type="dxa" w:w="4706"/>
            <w:shd w:val="clear" w:color="auto" w:fill="D9B2A5"/>
          </w:tcPr>
          <w:p/>
        </w:tc>
        <w:tc>
          <w:tcPr>
            <w:tcW w:type="dxa" w:w="2823"/>
            <w:shd w:val="clear" w:color="auto" w:fill="C28571"/>
          </w:tcPr>
          <w:p/>
        </w:tc>
        <w:tc>
          <w:tcPr>
            <w:tcW w:type="dxa" w:w="1882"/>
            <w:shd w:val="clear" w:color="auto" w:fill="AC593D"/>
          </w:tcPr>
          <w:p/>
        </w:tc>
      </w:tr>
      <w:tr>
        <w:trPr>
          <w:trHeight w:val="850" w:hRule="exact"/>
        </w:trPr>
        <w:tc>
          <w:tcPr>
            <w:tcW w:type="dxa" w:w="4706"/>
            <w:shd w:val="clear" w:color="auto" w:fill="C28571"/>
          </w:tcPr>
          <w:p/>
        </w:tc>
        <w:tc>
          <w:tcPr>
            <w:tcW w:type="dxa" w:w="2823"/>
            <w:shd w:val="clear" w:color="auto" w:fill="AC593D"/>
          </w:tcPr>
          <w:p/>
        </w:tc>
        <w:tc>
          <w:tcPr>
            <w:tcW w:type="dxa" w:w="1882"/>
            <w:shd w:val="clear" w:color="auto" w:fill="9A3412"/>
          </w:tcPr>
          <w:p/>
        </w:tc>
      </w:tr>
      <w:tr>
        <w:trPr>
          <w:trHeight w:val="737" w:hRule="exact"/>
        </w:trPr>
        <w:tc>
          <w:tcPr>
            <w:tcW w:type="dxa" w:w="4706"/>
            <w:shd w:val="clear" w:color="auto" w:fill="AC593D"/>
          </w:tcPr>
          <w:p/>
        </w:tc>
        <w:tc>
          <w:tcPr>
            <w:tcW w:type="dxa" w:w="2823"/>
            <w:shd w:val="clear" w:color="auto" w:fill="9A3412"/>
          </w:tcPr>
          <w:p/>
        </w:tc>
        <w:tc>
          <w:tcPr>
            <w:tcW w:type="dxa" w:w="1882"/>
            <w:shd w:val="clear" w:color="auto" w:fill="6C240D"/>
          </w:tcPr>
          <w:p/>
        </w:tc>
      </w:tr>
      <w:tr>
        <w:trPr>
          <w:trHeight w:val="794" w:hRule="exact"/>
        </w:trPr>
        <w:tc>
          <w:tcPr>
            <w:tcW w:type="dxa" w:w="4706"/>
            <w:shd w:val="clear" w:color="auto" w:fill="9A3412"/>
          </w:tcPr>
          <w:p/>
        </w:tc>
        <w:tc>
          <w:tcPr>
            <w:tcW w:type="dxa" w:w="2823"/>
            <w:shd w:val="clear" w:color="auto" w:fill="6C240D"/>
          </w:tcPr>
          <w:p/>
        </w:tc>
        <w:tc>
          <w:tcPr>
            <w:tcW w:type="dxa" w:w="1882"/>
            <w:shd w:val="clear" w:color="auto" w:fill="6C240D"/>
          </w:tcPr>
          <w:p/>
        </w:tc>
      </w:tr>
    </w:tbl>
    <w:tbl>
      <w:tblPr>
        <w:tblLayout w:type="fixed"/>
        <w:tblLook w:firstColumn="1" w:firstRow="1" w:lastColumn="0" w:lastRow="0" w:noHBand="0" w:noVBand="1" w:val="04A0"/>
        <w:tblW w:w="8094" w:type="dxa"/>
        <w:tblLayout w:type="fixed"/>
        <w:tblBorders>
          <w:top w:val="nil"/>
          <w:left w:val="nil"/>
          <w:bottom w:val="nil"/>
          <w:right w:val="nil"/>
          <w:insideH w:val="nil"/>
          <w:insideV w:val="nil"/>
        </w:tblBorders>
        <w:tblCellMar>
          <w:top w:w="360" w:type="dxa"/>
          <w:left w:w="420" w:type="dxa"/>
          <w:bottom w:w="360" w:type="dxa"/>
          <w:right w:w="420" w:type="dxa"/>
        </w:tblCellMar>
      </w:tblPr>
      <w:tblGrid>
        <w:gridCol w:w="8094"/>
      </w:tblGrid>
      <w:tr>
        <w:tc>
          <w:tcPr>
            <w:tcW w:type="dxa" w:w="8093"/>
            <w:shd w:val="clear" w:color="auto" w:fill="9A3412"/>
          </w:tcPr>
          <w:p>
            <w:pPr>
              <w:spacing w:after="160"/>
            </w:pPr>
            <w:r>
              <w:rPr>
                <w:b/>
                <w:i w:val="0"/>
                <w:caps/>
                <w:color w:val="FFFFFF"/>
                <w:sz w:val="19"/>
                <w:spacing w:val="40"/>
              </w:rPr>
              <w:t>Chapter notes</w:t>
            </w:r>
          </w:p>
          <w:p>
            <w:pPr>
              <w:pStyle w:val="Title"/>
            </w:pPr>
            <w:r>
              <w:rPr>
                <w:color w:val="FFFFFF"/>
              </w:rPr>
              <w:t>Nationalism in India</w:t>
            </w:r>
          </w:p>
          <w:p>
            <w:r>
              <w:rPr>
                <w:b w:val="0"/>
                <w:i w:val="0"/>
                <w:color w:val="FFFFFF"/>
                <w:sz w:val="25"/>
              </w:rPr>
              <w:t>From the First World War to Civil Disobedience</w:t>
            </w:r>
          </w:p>
        </w:tc>
      </w:tr>
    </w:tbl>
    <w:p>
      <w:pPr>
        <w:spacing w:after="8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6F7581"/>
                <w:sz w:val="16"/>
              </w:rPr>
              <w:t>SUBJECT</w:t>
            </w:r>
          </w:p>
        </w:tc>
        <w:tc>
          <w:tcPr>
            <w:tcW w:type="dxa" w:w="3137"/>
          </w:tcPr>
          <w:p>
            <w:pPr>
              <w:spacing w:after="0"/>
              <w:jc w:val="left"/>
            </w:pPr>
            <w:r>
              <w:rPr>
                <w:b/>
                <w:color w:val="6F7581"/>
                <w:sz w:val="16"/>
              </w:rPr>
              <w:t>CLASS / COURSE</w:t>
            </w:r>
          </w:p>
        </w:tc>
        <w:tc>
          <w:tcPr>
            <w:tcW w:type="dxa" w:w="3137"/>
          </w:tcPr>
          <w:p>
            <w:pPr>
              <w:spacing w:after="0"/>
              <w:jc w:val="left"/>
            </w:pPr>
            <w:r>
              <w:rPr>
                <w:b/>
                <w:color w:val="6F7581"/>
                <w:sz w:val="16"/>
              </w:rPr>
              <w:t>PREPARED BY</w:t>
            </w:r>
          </w:p>
        </w:tc>
      </w:tr>
      <w:tr>
        <w:tc>
          <w:tcPr>
            <w:tcW w:type="dxa" w:w="3137"/>
          </w:tcPr>
          <w:p>
            <w:pPr>
              <w:spacing w:after="0"/>
              <w:jc w:val="left"/>
            </w:pPr>
            <w:r>
              <w:rPr>
                <w:color w:val="172033"/>
                <w:sz w:val="21"/>
              </w:rPr>
              <w:t>History (Social Science)</w:t>
            </w:r>
          </w:p>
        </w:tc>
        <w:tc>
          <w:tcPr>
            <w:tcW w:type="dxa" w:w="3137"/>
          </w:tcPr>
          <w:p>
            <w:pPr>
              <w:spacing w:after="0"/>
              <w:jc w:val="left"/>
            </w:pPr>
            <w:r>
              <w:rPr>
                <w:color w:val="172033"/>
                <w:sz w:val="21"/>
              </w:rPr>
              <w:t>Class 10 · CBSE</w:t>
            </w:r>
          </w:p>
        </w:tc>
        <w:tc>
          <w:tcPr>
            <w:tcW w:type="dxa" w:w="3137"/>
          </w:tcPr>
          <w:p>
            <w:pPr>
              <w:spacing w:after="0"/>
              <w:jc w:val="left"/>
            </w:pPr>
            <w:r>
              <w:rPr>
                <w:color w:val="172033"/>
                <w:sz w:val="21"/>
              </w:rPr>
              <w:t>Subject Teacher</w:t>
            </w:r>
          </w:p>
        </w:tc>
      </w:tr>
    </w:tbl>
    <w:p>
      <w:pPr>
        <w:spacing w:after="0" w:before="0" w:line="20" w:lineRule="exact"/>
      </w:pPr>
      <w:r>
        <w:rPr>
          <w:sz w:val="2"/>
        </w:rPr>
        <w:br w:type="page"/>
      </w:r>
    </w:p>
    <w:p>
      <w:pPr>
        <w:pStyle w:val="Heading2"/>
      </w:pPr>
      <w:r>
        <w:t>How to Use These Notes</w:t>
      </w:r>
    </w:p>
    <w:p>
      <w:pPr>
        <w:jc w:val="both"/>
      </w:pPr>
      <w:r>
        <w:t>These notes cover the growth of the national movement from 1918 to the early 1930s.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412" w:type="dxa"/>
        <w:tblLayout w:type="fixed"/>
        <w:tblBorders>
          <w:top w:val="single" w:sz="8" w:space="0" w:color="9A3412"/>
          <w:left w:val="single" w:sz="8" w:space="0" w:color="9A3412"/>
          <w:bottom w:val="single" w:sz="8" w:space="0" w:color="9A3412"/>
          <w:right w:val="single" w:sz="8" w:space="0" w:color="9A3412"/>
          <w:insideH w:val="single" w:sz="8" w:space="0" w:color="9A3412"/>
          <w:insideV w:val="single" w:sz="8" w:space="0" w:color="9A3412"/>
        </w:tblBorders>
        <w:tblCellMar>
          <w:top w:w="140" w:type="dxa"/>
          <w:left w:w="200" w:type="dxa"/>
          <w:bottom w:w="140" w:type="dxa"/>
          <w:right w:w="200" w:type="dxa"/>
        </w:tblCellMar>
      </w:tblPr>
      <w:tblGrid>
        <w:gridCol w:w="9412"/>
      </w:tblGrid>
      <w:tr>
        <w:tc>
          <w:tcPr>
            <w:tcW w:type="dxa" w:w="9411"/>
            <w:shd w:val="clear" w:color="auto" w:fill="F5EBE7"/>
          </w:tcPr>
          <w:p>
            <w:pPr>
              <w:spacing w:after="60"/>
            </w:pPr>
            <w:r>
              <w:rPr>
                <w:b/>
                <w:color w:val="9A3412"/>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Topic 1: The First World War, Khilafat and Non-Cooperation</w:t>
      </w:r>
      <w:r>
        <w:tab/>
        <w:t>3</w:t>
      </w:r>
    </w:p>
    <w:p>
      <w:pPr>
        <w:pStyle w:val="TOC2"/>
      </w:pPr>
      <w:r>
        <w:t>Key Definitions</w:t>
      </w:r>
      <w:r>
        <w:tab/>
        <w:t>3</w:t>
      </w:r>
    </w:p>
    <w:p>
      <w:pPr>
        <w:pStyle w:val="TOC2"/>
      </w:pPr>
      <w:r>
        <w:t>Early Satyagrahas</w:t>
      </w:r>
      <w:r>
        <w:tab/>
        <w:t>3</w:t>
      </w:r>
    </w:p>
    <w:p>
      <w:pPr>
        <w:pStyle w:val="TOC2"/>
      </w:pPr>
      <w:r>
        <w:t>The Non-Cooperation Movement</w:t>
      </w:r>
      <w:r>
        <w:tab/>
        <w:t>3</w:t>
      </w:r>
    </w:p>
    <w:p>
      <w:pPr>
        <w:pStyle w:val="TOC2"/>
      </w:pPr>
      <w:r>
        <w:t>Solved Examples</w:t>
      </w:r>
      <w:r>
        <w:tab/>
        <w:t>4</w:t>
      </w:r>
    </w:p>
    <w:p>
      <w:pPr>
        <w:pStyle w:val="TOC2"/>
      </w:pPr>
      <w:r>
        <w:t>Practice Questions</w:t>
      </w:r>
      <w:r>
        <w:tab/>
        <w:t>4</w:t>
      </w:r>
    </w:p>
    <w:p>
      <w:pPr>
        <w:pStyle w:val="TOC1"/>
      </w:pPr>
      <w:r>
        <w:t>Topic 2: Civil Disobedience Movement</w:t>
      </w:r>
      <w:r>
        <w:tab/>
        <w:t>4</w:t>
      </w:r>
    </w:p>
    <w:p>
      <w:pPr>
        <w:pStyle w:val="TOC2"/>
      </w:pPr>
      <w:r>
        <w:t>Key Definitions</w:t>
      </w:r>
      <w:r>
        <w:tab/>
        <w:t>5</w:t>
      </w:r>
    </w:p>
    <w:p>
      <w:pPr>
        <w:pStyle w:val="TOC2"/>
      </w:pPr>
      <w:r>
        <w:t>Why Salt?</w:t>
      </w:r>
      <w:r>
        <w:tab/>
        <w:t>5</w:t>
      </w:r>
    </w:p>
    <w:p>
      <w:pPr>
        <w:pStyle w:val="TOC2"/>
      </w:pPr>
      <w:r>
        <w:t>Participation and Limits</w:t>
      </w:r>
      <w:r>
        <w:tab/>
        <w:t>5</w:t>
      </w:r>
    </w:p>
    <w:p>
      <w:pPr>
        <w:pStyle w:val="TOC2"/>
      </w:pPr>
      <w:r>
        <w:t>Solved Examples</w:t>
      </w:r>
      <w:r>
        <w:tab/>
        <w:t>5</w:t>
      </w:r>
    </w:p>
    <w:p>
      <w:pPr>
        <w:pStyle w:val="TOC2"/>
      </w:pPr>
      <w:r>
        <w:t>Practice Questions</w:t>
      </w:r>
      <w:r>
        <w:tab/>
        <w:t>5</w:t>
      </w:r>
    </w:p>
    <w:p>
      <w:pPr>
        <w:pStyle w:val="TOC1"/>
      </w:pPr>
      <w:r>
        <w:t>Topic 3: The Sense of Collective Belonging</w:t>
      </w:r>
      <w:r>
        <w:tab/>
        <w:t>6</w:t>
      </w:r>
    </w:p>
    <w:p>
      <w:pPr>
        <w:pStyle w:val="TOC2"/>
      </w:pPr>
      <w:r>
        <w:t>Key Definitions</w:t>
      </w:r>
      <w:r>
        <w:tab/>
        <w:t>6</w:t>
      </w:r>
    </w:p>
    <w:p>
      <w:pPr>
        <w:pStyle w:val="TOC2"/>
      </w:pPr>
      <w:r>
        <w:t>Symbols and Culture</w:t>
      </w:r>
      <w:r>
        <w:tab/>
        <w:t>6</w:t>
      </w:r>
    </w:p>
    <w:p>
      <w:pPr>
        <w:pStyle w:val="TOC2"/>
      </w:pPr>
      <w:r>
        <w:t>Solved Examples</w:t>
      </w:r>
      <w:r>
        <w:tab/>
        <w:t>7</w:t>
      </w:r>
    </w:p>
    <w:p>
      <w:pPr>
        <w:pStyle w:val="TOC2"/>
      </w:pPr>
      <w:r>
        <w:t>Practice Questions</w:t>
      </w:r>
      <w:r>
        <w:tab/>
        <w:t>7</w:t>
      </w:r>
    </w:p>
    <w:p>
      <w:pPr>
        <w:pStyle w:val="TOC1"/>
      </w:pPr>
      <w:r>
        <w:t>Quick Revision Sheet</w:t>
      </w:r>
      <w:r>
        <w:tab/>
        <w:t>7</w:t>
      </w:r>
    </w:p>
    <w:p>
      <w:pPr>
        <w:pStyle w:val="TOC1"/>
      </w:pPr>
      <w:r>
        <w:t>Answer Key</w:t>
      </w:r>
      <w:r>
        <w:tab/>
        <w:t>8</w:t>
      </w:r>
    </w:p>
    <w:p>
      <w:pPr>
        <w:spacing w:after="0"/>
      </w:pPr>
      <w:r>
        <w:fldChar w:fldCharType="end"/>
      </w:r>
    </w:p>
    <w:p>
      <w:pPr>
        <w:pStyle w:val="Heading1"/>
      </w:pPr>
      <w:r>
        <w:t>Topic 1: The First World War, Khilafat and Non-Cooperation</w:t>
      </w:r>
    </w:p>
    <w:p>
      <w:pPr>
        <w:jc w:val="both"/>
      </w:pPr>
      <w:r>
        <w:t>The war created new economic and political conditions in India. Gandhiji’s idea of satyagraha and the Khilafat issue brought Hindus and Muslims together in the Non-Cooperation Movement of 1920–22.</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72033"/>
          </w:tcPr>
          <w:p>
            <w:pPr>
              <w:spacing w:after="0"/>
            </w:pPr>
            <w:r/>
            <w:r>
              <w:rPr>
                <w:b/>
                <w:color w:val="FFFFFF"/>
                <w:sz w:val="20"/>
              </w:rPr>
              <w:t>Term</w:t>
            </w:r>
          </w:p>
        </w:tc>
        <w:tc>
          <w:tcPr>
            <w:tcW w:type="dxa" w:w="6815"/>
            <w:vAlign w:val="center"/>
            <w:shd w:val="clear" w:color="auto" w:fill="172033"/>
          </w:tcPr>
          <w:p>
            <w:pPr>
              <w:spacing w:after="0"/>
            </w:pPr>
            <w:r/>
            <w:r>
              <w:rPr>
                <w:b/>
                <w:color w:val="FFFFFF"/>
                <w:sz w:val="20"/>
              </w:rPr>
              <w:t>Meaning</w:t>
            </w:r>
          </w:p>
        </w:tc>
      </w:tr>
      <w:tr>
        <w:tc>
          <w:tcPr>
            <w:tcW w:type="dxa" w:w="2596"/>
            <w:vAlign w:val="center"/>
          </w:tcPr>
          <w:p>
            <w:pPr>
              <w:spacing w:after="0"/>
            </w:pPr>
            <w:r/>
            <w:r>
              <w:rPr>
                <w:sz w:val="20"/>
              </w:rPr>
              <w:t>Satyagraha</w:t>
            </w:r>
          </w:p>
        </w:tc>
        <w:tc>
          <w:tcPr>
            <w:tcW w:type="dxa" w:w="6815"/>
            <w:vAlign w:val="center"/>
          </w:tcPr>
          <w:p>
            <w:pPr>
              <w:spacing w:after="0"/>
            </w:pPr>
            <w:r/>
            <w:r>
              <w:rPr>
                <w:sz w:val="20"/>
              </w:rPr>
              <w:t>Mass agitation based on truth and non-violence</w:t>
            </w:r>
          </w:p>
        </w:tc>
      </w:tr>
      <w:tr>
        <w:tc>
          <w:tcPr>
            <w:tcW w:type="dxa" w:w="2596"/>
            <w:vAlign w:val="center"/>
            <w:shd w:val="clear" w:color="auto" w:fill="F5EBE7"/>
          </w:tcPr>
          <w:p>
            <w:pPr>
              <w:spacing w:after="0"/>
            </w:pPr>
            <w:r/>
            <w:r>
              <w:rPr>
                <w:sz w:val="20"/>
              </w:rPr>
              <w:t>Rowlatt Act (1919)</w:t>
            </w:r>
          </w:p>
        </w:tc>
        <w:tc>
          <w:tcPr>
            <w:tcW w:type="dxa" w:w="6815"/>
            <w:vAlign w:val="center"/>
            <w:shd w:val="clear" w:color="auto" w:fill="F5EBE7"/>
          </w:tcPr>
          <w:p>
            <w:pPr>
              <w:spacing w:after="0"/>
            </w:pPr>
            <w:r/>
            <w:r>
              <w:rPr>
                <w:sz w:val="20"/>
              </w:rPr>
              <w:t>Law allowing detention of political prisoners without trial</w:t>
            </w:r>
          </w:p>
        </w:tc>
      </w:tr>
      <w:tr>
        <w:tc>
          <w:tcPr>
            <w:tcW w:type="dxa" w:w="2596"/>
            <w:vAlign w:val="center"/>
          </w:tcPr>
          <w:p>
            <w:pPr>
              <w:spacing w:after="0"/>
            </w:pPr>
            <w:r/>
            <w:r>
              <w:rPr>
                <w:sz w:val="20"/>
              </w:rPr>
              <w:t>Jallianwala Bagh</w:t>
            </w:r>
          </w:p>
        </w:tc>
        <w:tc>
          <w:tcPr>
            <w:tcW w:type="dxa" w:w="6815"/>
            <w:vAlign w:val="center"/>
          </w:tcPr>
          <w:p>
            <w:pPr>
              <w:spacing w:after="0"/>
            </w:pPr>
            <w:r/>
            <w:r>
              <w:rPr>
                <w:sz w:val="20"/>
              </w:rPr>
              <w:t>Massacre at Amritsar on 13 April 1919</w:t>
            </w:r>
          </w:p>
        </w:tc>
      </w:tr>
      <w:tr>
        <w:tc>
          <w:tcPr>
            <w:tcW w:type="dxa" w:w="2596"/>
            <w:vAlign w:val="center"/>
            <w:shd w:val="clear" w:color="auto" w:fill="F5EBE7"/>
          </w:tcPr>
          <w:p>
            <w:pPr>
              <w:spacing w:after="0"/>
            </w:pPr>
            <w:r/>
            <w:r>
              <w:rPr>
                <w:sz w:val="20"/>
              </w:rPr>
              <w:t>Khilafat</w:t>
            </w:r>
          </w:p>
        </w:tc>
        <w:tc>
          <w:tcPr>
            <w:tcW w:type="dxa" w:w="6815"/>
            <w:vAlign w:val="center"/>
            <w:shd w:val="clear" w:color="auto" w:fill="F5EBE7"/>
          </w:tcPr>
          <w:p>
            <w:pPr>
              <w:spacing w:after="0"/>
            </w:pPr>
            <w:r/>
            <w:r>
              <w:rPr>
                <w:sz w:val="20"/>
              </w:rPr>
              <w:t>Movement to defend the Ottoman Caliph after the war</w:t>
            </w:r>
          </w:p>
        </w:tc>
      </w:tr>
      <w:tr>
        <w:tc>
          <w:tcPr>
            <w:tcW w:type="dxa" w:w="2596"/>
            <w:vAlign w:val="center"/>
          </w:tcPr>
          <w:p>
            <w:pPr>
              <w:spacing w:after="0"/>
            </w:pPr>
            <w:r/>
            <w:r>
              <w:rPr>
                <w:sz w:val="20"/>
              </w:rPr>
              <w:t>Non-Cooperation</w:t>
            </w:r>
          </w:p>
        </w:tc>
        <w:tc>
          <w:tcPr>
            <w:tcW w:type="dxa" w:w="6815"/>
            <w:vAlign w:val="center"/>
          </w:tcPr>
          <w:p>
            <w:pPr>
              <w:spacing w:after="0"/>
            </w:pPr>
            <w:r/>
            <w:r>
              <w:rPr>
                <w:sz w:val="20"/>
              </w:rPr>
              <w:t>Boycott of British institutions, goods and titles</w:t>
            </w:r>
          </w:p>
        </w:tc>
      </w:tr>
    </w:tbl>
    <w:p>
      <w:pPr>
        <w:spacing w:after="80"/>
      </w:pPr>
    </w:p>
    <w:p>
      <w:pPr>
        <w:pStyle w:val="Heading2"/>
      </w:pPr>
      <w:r>
        <w:t>Early Satyagrahas</w:t>
      </w:r>
    </w:p>
    <w:p>
      <w:pPr>
        <w:jc w:val="both"/>
      </w:pPr>
      <w:r>
        <w:t>Gandhiji led satyagrahas at Champaran (1917) for indigo farmers, Kheda (1917) for peasants hit by crop failure and Ahmedabad (1918) for mill workers.</w:t>
      </w:r>
    </w:p>
    <w:p>
      <w:pPr>
        <w:pStyle w:val="Heading2"/>
      </w:pPr>
      <w:r>
        <w:t>The Non-Cooperation Movement</w:t>
      </w:r>
    </w:p>
    <w:p>
      <w:pPr>
        <w:jc w:val="both"/>
      </w:pPr>
      <w:r>
        <w:t>Launched in 1920, it began with the surrender of titles and boycott of civil services, courts, councils, schools and foreign goods. It was called off in February 1922 after the violence at Chauri Chaura.</w:t>
      </w:r>
    </w:p>
    <w:p>
      <w:pPr>
        <w:pStyle w:val="ListBullet"/>
      </w:pPr>
      <w:r>
        <w:t>Boycott of foreign cloth</w:t>
      </w:r>
    </w:p>
    <w:p>
      <w:pPr>
        <w:pStyle w:val="ListBullet"/>
      </w:pPr>
      <w:r>
        <w:t>Picketing of liquor shops</w:t>
      </w:r>
    </w:p>
    <w:p>
      <w:pPr>
        <w:pStyle w:val="ListBullet"/>
      </w:pPr>
      <w:r>
        <w:t>Tribal and plantation workers’ protests</w:t>
      </w:r>
    </w:p>
    <w:p>
      <w:pPr>
        <w:pStyle w:val="Heading2"/>
      </w:pPr>
      <w:r>
        <w:t>Solved Examples</w:t>
      </w:r>
    </w:p>
    <w:p>
      <w:pPr>
        <w:keepNext/>
        <w:spacing w:after="20"/>
      </w:pPr>
      <w:r>
        <w:rPr>
          <w:b/>
          <w:color w:val="9A3412"/>
        </w:rPr>
        <w:t xml:space="preserve">Q1. </w:t>
      </w:r>
      <w:r>
        <w:rPr>
          <w:b/>
        </w:rPr>
        <w:t>Why did Gandhiji withdraw the Non-Cooperation Movement?</w:t>
      </w:r>
    </w:p>
    <w:p>
      <w:pPr>
        <w:spacing w:after="120"/>
      </w:pPr>
      <w:r>
        <w:rPr>
          <w:color w:val="172033"/>
        </w:rPr>
        <w:t>The movement turned violent at Chauri Chaura in 1922, and Gandhiji felt that satyagrahis needed more training for mass struggle.</w:t>
      </w:r>
    </w:p>
    <w:p>
      <w:pPr>
        <w:keepNext/>
        <w:spacing w:after="20"/>
      </w:pPr>
      <w:r>
        <w:rPr>
          <w:b/>
          <w:color w:val="9A3412"/>
        </w:rPr>
        <w:t xml:space="preserve">Q2. </w:t>
      </w:r>
      <w:r>
        <w:rPr>
          <w:b/>
        </w:rPr>
        <w:t>Why was the Rowlatt Act opposed?</w:t>
      </w:r>
    </w:p>
    <w:p>
      <w:pPr>
        <w:spacing w:after="120"/>
      </w:pPr>
      <w:r>
        <w:rPr>
          <w:color w:val="172033"/>
        </w:rPr>
        <w:t>It allowed detention without trial for two years, denying basic civil rights.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5EBE7"/>
            <w:tcBorders>
              <w:left w:val="single" w:sz="36" w:space="0" w:color="9A3412"/>
            </w:tcBorders>
          </w:tcPr>
          <w:p>
            <w:pPr>
              <w:spacing w:after="60"/>
            </w:pPr>
            <w:r>
              <w:rPr>
                <w:b/>
                <w:color w:val="9A3412"/>
              </w:rPr>
              <w:t>Exam tip</w:t>
            </w:r>
          </w:p>
          <w:p>
            <w:pPr>
              <w:spacing w:after="0"/>
            </w:pPr>
            <w:r>
              <w:t>Use a timeline in your answer for “events leading to” questions — it organises points and saves words.</w:t>
            </w:r>
          </w:p>
        </w:tc>
      </w:tr>
    </w:tbl>
    <w:p>
      <w:pPr>
        <w:spacing w:after="40"/>
      </w:pPr>
    </w:p>
    <w:p>
      <w:pPr>
        <w:pStyle w:val="Heading2"/>
      </w:pPr>
      <w:r>
        <w:t>Practice Questions</w:t>
      </w:r>
    </w:p>
    <w:p>
      <w:pPr>
        <w:spacing w:after="40"/>
      </w:pPr>
      <w:r>
        <w:rPr>
          <w:b/>
        </w:rPr>
        <w:t>A. Multiple choice</w:t>
      </w:r>
    </w:p>
    <w:p>
      <w:pPr>
        <w:keepNext/>
        <w:spacing w:after="20"/>
      </w:pPr>
      <w:r>
        <w:t>1. The Rowlatt Act was passed in</w:t>
      </w:r>
    </w:p>
    <w:p>
      <w:pPr>
        <w:spacing w:after="80"/>
      </w:pPr>
      <w:r>
        <w:rPr>
          <w:color w:val="6F7581"/>
        </w:rPr>
        <w:t>(a) 1917     (b) 1919     (c) 1920     (d) 1922</w:t>
      </w:r>
    </w:p>
    <w:p>
      <w:pPr>
        <w:keepNext/>
        <w:spacing w:after="20"/>
      </w:pPr>
      <w:r>
        <w:t>2. Champaran Satyagraha concerned</w:t>
      </w:r>
    </w:p>
    <w:p>
      <w:pPr>
        <w:spacing w:after="80"/>
      </w:pPr>
      <w:r>
        <w:rPr>
          <w:color w:val="6F7581"/>
        </w:rPr>
        <w:t>(a) Mill workers     (b) Indigo farmers     (c) Salt     (d) Tax on land</w:t>
      </w:r>
    </w:p>
    <w:p>
      <w:pPr>
        <w:keepNext/>
        <w:spacing w:after="20"/>
      </w:pPr>
      <w:r>
        <w:t>3. Non-Cooperation was withdrawn after</w:t>
      </w:r>
    </w:p>
    <w:p>
      <w:pPr>
        <w:spacing w:after="80"/>
      </w:pPr>
      <w:r>
        <w:rPr>
          <w:color w:val="6F7581"/>
        </w:rPr>
        <w:t>(a) Jallianwala Bagh     (b) Chauri Chaura     (c) Dandi March     (d) Simon Commission</w:t>
      </w:r>
    </w:p>
    <w:p>
      <w:pPr>
        <w:keepNext/>
        <w:spacing w:after="20"/>
      </w:pPr>
      <w:r>
        <w:t>4. Khilafat leaders included</w:t>
      </w:r>
    </w:p>
    <w:p>
      <w:pPr>
        <w:spacing w:after="80"/>
      </w:pPr>
      <w:r>
        <w:rPr>
          <w:color w:val="6F7581"/>
        </w:rPr>
        <w:t>(a) Ali brothers     (b) Nehru     (c) Patel     (d) Bose</w:t>
      </w:r>
    </w:p>
    <w:p>
      <w:pPr>
        <w:spacing w:after="40" w:before="120"/>
      </w:pPr>
      <w:r>
        <w:rPr>
          <w:b/>
        </w:rPr>
        <w:t>B. Short answer</w:t>
      </w:r>
    </w:p>
    <w:p>
      <w:pPr>
        <w:pStyle w:val="ListNumber"/>
      </w:pPr>
      <w:r>
        <w:t>What is satyagraha?</w:t>
      </w:r>
    </w:p>
    <w:p>
      <w:pPr>
        <w:pStyle w:val="ListNumber"/>
      </w:pPr>
      <w:r>
        <w:t>Why was the Khilafat issue taken up by Gandhiji?</w:t>
      </w:r>
    </w:p>
    <w:p>
      <w:pPr>
        <w:pStyle w:val="ListNumber"/>
      </w:pPr>
      <w:r>
        <w:t>Name three early satyagrahas.</w:t>
      </w:r>
    </w:p>
    <w:p>
      <w:pPr>
        <w:spacing w:after="40" w:before="120"/>
      </w:pPr>
      <w:r>
        <w:rPr>
          <w:b/>
        </w:rPr>
        <w:t>C. Long answer</w:t>
      </w:r>
    </w:p>
    <w:p>
      <w:pPr>
        <w:pStyle w:val="ListNumber"/>
      </w:pPr>
      <w:r>
        <w:t>Explain the causes and spread of the Non-Cooperation Movement.</w:t>
      </w:r>
    </w:p>
    <w:p>
      <w:pPr>
        <w:pStyle w:val="ListNumber"/>
      </w:pPr>
      <w:r>
        <w:t>How did different social groups participate in the Non-Cooperation Movement?</w:t>
      </w:r>
    </w:p>
    <w:p>
      <w:pPr>
        <w:pStyle w:val="Heading1"/>
      </w:pPr>
      <w:r>
        <w:t>Topic 2: Civil Disobedience Movement</w:t>
      </w:r>
    </w:p>
    <w:p>
      <w:pPr>
        <w:jc w:val="both"/>
      </w:pPr>
      <w:r>
        <w:t>The Salt March of 1930 started a new phase of the struggle in which people broke colonial laws, not only refused to cooperate.</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72033"/>
          </w:tcPr>
          <w:p>
            <w:pPr>
              <w:spacing w:after="0"/>
            </w:pPr>
            <w:r/>
            <w:r>
              <w:rPr>
                <w:b/>
                <w:color w:val="FFFFFF"/>
                <w:sz w:val="20"/>
              </w:rPr>
              <w:t>Term</w:t>
            </w:r>
          </w:p>
        </w:tc>
        <w:tc>
          <w:tcPr>
            <w:tcW w:type="dxa" w:w="6815"/>
            <w:vAlign w:val="center"/>
            <w:shd w:val="clear" w:color="auto" w:fill="172033"/>
          </w:tcPr>
          <w:p>
            <w:pPr>
              <w:spacing w:after="0"/>
            </w:pPr>
            <w:r/>
            <w:r>
              <w:rPr>
                <w:b/>
                <w:color w:val="FFFFFF"/>
                <w:sz w:val="20"/>
              </w:rPr>
              <w:t>Meaning</w:t>
            </w:r>
          </w:p>
        </w:tc>
      </w:tr>
      <w:tr>
        <w:tc>
          <w:tcPr>
            <w:tcW w:type="dxa" w:w="2596"/>
            <w:vAlign w:val="center"/>
          </w:tcPr>
          <w:p>
            <w:pPr>
              <w:spacing w:after="0"/>
            </w:pPr>
            <w:r/>
            <w:r>
              <w:rPr>
                <w:sz w:val="20"/>
              </w:rPr>
              <w:t>Simon Commission</w:t>
            </w:r>
          </w:p>
        </w:tc>
        <w:tc>
          <w:tcPr>
            <w:tcW w:type="dxa" w:w="6815"/>
            <w:vAlign w:val="center"/>
          </w:tcPr>
          <w:p>
            <w:pPr>
              <w:spacing w:after="0"/>
            </w:pPr>
            <w:r/>
            <w:r>
              <w:rPr>
                <w:sz w:val="20"/>
              </w:rPr>
              <w:t>All-British statutory commission that arrived in 1928</w:t>
            </w:r>
          </w:p>
        </w:tc>
      </w:tr>
      <w:tr>
        <w:tc>
          <w:tcPr>
            <w:tcW w:type="dxa" w:w="2596"/>
            <w:vAlign w:val="center"/>
            <w:shd w:val="clear" w:color="auto" w:fill="F5EBE7"/>
          </w:tcPr>
          <w:p>
            <w:pPr>
              <w:spacing w:after="0"/>
            </w:pPr>
            <w:r/>
            <w:r>
              <w:rPr>
                <w:sz w:val="20"/>
              </w:rPr>
              <w:t>Purna Swaraj</w:t>
            </w:r>
          </w:p>
        </w:tc>
        <w:tc>
          <w:tcPr>
            <w:tcW w:type="dxa" w:w="6815"/>
            <w:vAlign w:val="center"/>
            <w:shd w:val="clear" w:color="auto" w:fill="F5EBE7"/>
          </w:tcPr>
          <w:p>
            <w:pPr>
              <w:spacing w:after="0"/>
            </w:pPr>
            <w:r/>
            <w:r>
              <w:rPr>
                <w:sz w:val="20"/>
              </w:rPr>
              <w:t>Complete independence, demanded at Lahore in 1929</w:t>
            </w:r>
          </w:p>
        </w:tc>
      </w:tr>
      <w:tr>
        <w:tc>
          <w:tcPr>
            <w:tcW w:type="dxa" w:w="2596"/>
            <w:vAlign w:val="center"/>
          </w:tcPr>
          <w:p>
            <w:pPr>
              <w:spacing w:after="0"/>
            </w:pPr>
            <w:r/>
            <w:r>
              <w:rPr>
                <w:sz w:val="20"/>
              </w:rPr>
              <w:t>Dandi March</w:t>
            </w:r>
          </w:p>
        </w:tc>
        <w:tc>
          <w:tcPr>
            <w:tcW w:type="dxa" w:w="6815"/>
            <w:vAlign w:val="center"/>
          </w:tcPr>
          <w:p>
            <w:pPr>
              <w:spacing w:after="0"/>
            </w:pPr>
            <w:r/>
            <w:r>
              <w:rPr>
                <w:sz w:val="20"/>
              </w:rPr>
              <w:t>Gandhiji’s 240-mile march to make salt in 1930</w:t>
            </w:r>
          </w:p>
        </w:tc>
      </w:tr>
      <w:tr>
        <w:tc>
          <w:tcPr>
            <w:tcW w:type="dxa" w:w="2596"/>
            <w:vAlign w:val="center"/>
            <w:shd w:val="clear" w:color="auto" w:fill="F5EBE7"/>
          </w:tcPr>
          <w:p>
            <w:pPr>
              <w:spacing w:after="0"/>
            </w:pPr>
            <w:r/>
            <w:r>
              <w:rPr>
                <w:sz w:val="20"/>
              </w:rPr>
              <w:t>Gandhi–Irwin Pact</w:t>
            </w:r>
          </w:p>
        </w:tc>
        <w:tc>
          <w:tcPr>
            <w:tcW w:type="dxa" w:w="6815"/>
            <w:vAlign w:val="center"/>
            <w:shd w:val="clear" w:color="auto" w:fill="F5EBE7"/>
          </w:tcPr>
          <w:p>
            <w:pPr>
              <w:spacing w:after="0"/>
            </w:pPr>
            <w:r/>
            <w:r>
              <w:rPr>
                <w:sz w:val="20"/>
              </w:rPr>
              <w:t>1931 agreement suspending Civil Disobedience</w:t>
            </w:r>
          </w:p>
        </w:tc>
      </w:tr>
      <w:tr>
        <w:tc>
          <w:tcPr>
            <w:tcW w:type="dxa" w:w="2596"/>
            <w:vAlign w:val="center"/>
          </w:tcPr>
          <w:p>
            <w:pPr>
              <w:spacing w:after="0"/>
            </w:pPr>
            <w:r/>
            <w:r>
              <w:rPr>
                <w:sz w:val="20"/>
              </w:rPr>
              <w:t>Poona Pact</w:t>
            </w:r>
          </w:p>
        </w:tc>
        <w:tc>
          <w:tcPr>
            <w:tcW w:type="dxa" w:w="6815"/>
            <w:vAlign w:val="center"/>
          </w:tcPr>
          <w:p>
            <w:pPr>
              <w:spacing w:after="0"/>
            </w:pPr>
            <w:r/>
            <w:r>
              <w:rPr>
                <w:sz w:val="20"/>
              </w:rPr>
              <w:t>1932 agreement on reserved seats for depressed classes</w:t>
            </w:r>
          </w:p>
        </w:tc>
      </w:tr>
    </w:tbl>
    <w:p>
      <w:pPr>
        <w:spacing w:after="80"/>
      </w:pPr>
    </w:p>
    <w:p>
      <w:pPr>
        <w:pStyle w:val="Heading2"/>
      </w:pPr>
      <w:r>
        <w:t>Why Salt?</w:t>
      </w:r>
    </w:p>
    <w:p>
      <w:pPr>
        <w:jc w:val="both"/>
      </w:pPr>
      <w:r>
        <w:t>Salt was used by rich and poor alike, so a tax on it united everyone. Gandhiji’s letter to Viceroy Irwin listed eleven demands; when they were ignored, he began the march from Sabarmati to Dandi.</w:t>
      </w:r>
    </w:p>
    <w:p>
      <w:pPr>
        <w:pStyle w:val="Heading2"/>
      </w:pPr>
      <w:r>
        <w:t>Participation and Limits</w:t>
      </w:r>
    </w:p>
    <w:p>
      <w:pPr>
        <w:jc w:val="both"/>
      </w:pPr>
      <w:r>
        <w:t>Rich peasants, poor peasants, businessmen, industrial workers and women joined for different reasons. Dalits and many Muslims remained distant, and the movement’s unity was limited.</w:t>
      </w:r>
    </w:p>
    <w:p>
      <w:pPr>
        <w:pStyle w:val="Heading2"/>
      </w:pPr>
      <w:r>
        <w:t>Solved Examples</w:t>
      </w:r>
    </w:p>
    <w:p>
      <w:pPr>
        <w:keepNext/>
        <w:spacing w:after="20"/>
      </w:pPr>
      <w:r>
        <w:rPr>
          <w:b/>
          <w:color w:val="9A3412"/>
        </w:rPr>
        <w:t xml:space="preserve">Q1. </w:t>
      </w:r>
      <w:r>
        <w:rPr>
          <w:b/>
        </w:rPr>
        <w:t>Why did the Simon Commission face protests?</w:t>
      </w:r>
    </w:p>
    <w:p>
      <w:pPr>
        <w:spacing w:after="120"/>
      </w:pPr>
      <w:r>
        <w:rPr>
          <w:color w:val="172033"/>
        </w:rPr>
        <w:t>It had no Indian members, so it was greeted with “Simon go back”.</w:t>
      </w:r>
    </w:p>
    <w:p>
      <w:pPr>
        <w:keepNext/>
        <w:spacing w:after="20"/>
      </w:pPr>
      <w:r>
        <w:rPr>
          <w:b/>
          <w:color w:val="9A3412"/>
        </w:rPr>
        <w:t xml:space="preserve">Q2. </w:t>
      </w:r>
      <w:r>
        <w:rPr>
          <w:b/>
        </w:rPr>
        <w:t>What did the Gandhi–Irwin Pact provide?</w:t>
      </w:r>
    </w:p>
    <w:p>
      <w:pPr>
        <w:spacing w:after="120"/>
      </w:pPr>
      <w:r>
        <w:rPr>
          <w:color w:val="172033"/>
        </w:rPr>
        <w:t>Gandhiji agreed to attend the Second Round Table Conference and the government agreed to release political prisoners.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5EBE7"/>
            <w:tcBorders>
              <w:left w:val="single" w:sz="36" w:space="0" w:color="9A3412"/>
            </w:tcBorders>
          </w:tcPr>
          <w:p>
            <w:pPr>
              <w:spacing w:after="60"/>
            </w:pPr>
            <w:r>
              <w:rPr>
                <w:b/>
                <w:color w:val="9A3412"/>
              </w:rPr>
              <w:t>Exam tip</w:t>
            </w:r>
          </w:p>
          <w:p>
            <w:pPr>
              <w:spacing w:after="0"/>
            </w:pPr>
            <w:r>
              <w:t>In “participation” questions, take each social group separately and give its reason for joining and its limits.</w:t>
            </w:r>
          </w:p>
        </w:tc>
      </w:tr>
    </w:tbl>
    <w:p>
      <w:pPr>
        <w:spacing w:after="40"/>
      </w:pPr>
    </w:p>
    <w:p>
      <w:pPr>
        <w:pStyle w:val="Heading2"/>
      </w:pPr>
      <w:r>
        <w:t>Practice Questions</w:t>
      </w:r>
    </w:p>
    <w:p>
      <w:pPr>
        <w:spacing w:after="40"/>
      </w:pPr>
      <w:r>
        <w:rPr>
          <w:b/>
        </w:rPr>
        <w:t>A. Multiple choice</w:t>
      </w:r>
    </w:p>
    <w:p>
      <w:pPr>
        <w:keepNext/>
        <w:spacing w:after="20"/>
      </w:pPr>
      <w:r>
        <w:t>1. Dandi March began in</w:t>
      </w:r>
    </w:p>
    <w:p>
      <w:pPr>
        <w:spacing w:after="80"/>
      </w:pPr>
      <w:r>
        <w:rPr>
          <w:color w:val="6F7581"/>
        </w:rPr>
        <w:t>(a) 1928     (b) 1930     (c) 1931     (d) 1932</w:t>
      </w:r>
    </w:p>
    <w:p>
      <w:pPr>
        <w:keepNext/>
        <w:spacing w:after="20"/>
      </w:pPr>
      <w:r>
        <w:t>2. Purna Swaraj resolution was passed at</w:t>
      </w:r>
    </w:p>
    <w:p>
      <w:pPr>
        <w:spacing w:after="80"/>
      </w:pPr>
      <w:r>
        <w:rPr>
          <w:color w:val="6F7581"/>
        </w:rPr>
        <w:t>(a) Calcutta     (b) Lahore     (c) Madras     (d) Nagpur</w:t>
      </w:r>
    </w:p>
    <w:p>
      <w:pPr>
        <w:keepNext/>
        <w:spacing w:after="20"/>
      </w:pPr>
      <w:r>
        <w:t>3. Poona Pact was signed between Gandhiji and</w:t>
      </w:r>
    </w:p>
    <w:p>
      <w:pPr>
        <w:spacing w:after="80"/>
      </w:pPr>
      <w:r>
        <w:rPr>
          <w:color w:val="6F7581"/>
        </w:rPr>
        <w:t>(a) Jinnah     (b) Ambedkar     (c) Irwin     (d) Nehru</w:t>
      </w:r>
    </w:p>
    <w:p>
      <w:pPr>
        <w:keepNext/>
        <w:spacing w:after="20"/>
      </w:pPr>
      <w:r>
        <w:t>4. Simon Commission came to India in</w:t>
      </w:r>
    </w:p>
    <w:p>
      <w:pPr>
        <w:spacing w:after="80"/>
      </w:pPr>
      <w:r>
        <w:rPr>
          <w:color w:val="6F7581"/>
        </w:rPr>
        <w:t>(a) 1927     (b) 1928     (c) 1929     (d) 1930</w:t>
      </w:r>
    </w:p>
    <w:p>
      <w:pPr>
        <w:spacing w:after="40" w:before="120"/>
      </w:pPr>
      <w:r>
        <w:rPr>
          <w:b/>
        </w:rPr>
        <w:t>B. Short answer</w:t>
      </w:r>
    </w:p>
    <w:p>
      <w:pPr>
        <w:pStyle w:val="ListNumber"/>
      </w:pPr>
      <w:r>
        <w:t>Why was salt chosen as a symbol?</w:t>
      </w:r>
    </w:p>
    <w:p>
      <w:pPr>
        <w:pStyle w:val="ListNumber"/>
      </w:pPr>
      <w:r>
        <w:t>What was the Poona Pact?</w:t>
      </w:r>
    </w:p>
    <w:p>
      <w:pPr>
        <w:pStyle w:val="ListNumber"/>
      </w:pPr>
      <w:r>
        <w:t>Why was the Simon Commission boycotted?</w:t>
      </w:r>
    </w:p>
    <w:p>
      <w:pPr>
        <w:spacing w:after="40" w:before="120"/>
      </w:pPr>
      <w:r>
        <w:rPr>
          <w:b/>
        </w:rPr>
        <w:t>C. Long answer</w:t>
      </w:r>
    </w:p>
    <w:p>
      <w:pPr>
        <w:pStyle w:val="ListNumber"/>
      </w:pPr>
      <w:r>
        <w:t>Describe the Salt March and the spread of the Civil Disobedience Movement.</w:t>
      </w:r>
    </w:p>
    <w:p>
      <w:pPr>
        <w:pStyle w:val="ListNumber"/>
      </w:pPr>
      <w:r>
        <w:t>How was Civil Disobedience different from Non-Cooperation?</w:t>
      </w:r>
    </w:p>
    <w:p>
      <w:pPr>
        <w:pStyle w:val="Heading1"/>
      </w:pPr>
      <w:r>
        <w:t>Topic 3: The Sense of Collective Belonging</w:t>
      </w:r>
    </w:p>
    <w:p>
      <w:pPr>
        <w:jc w:val="both"/>
      </w:pPr>
      <w:r>
        <w:t>Nationalism spreads when people begin to believe that they are part of the same nation. History, folklore, songs and symbols helped create this sense of belonging.</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72033"/>
          </w:tcPr>
          <w:p>
            <w:pPr>
              <w:spacing w:after="0"/>
            </w:pPr>
            <w:r/>
            <w:r>
              <w:rPr>
                <w:b/>
                <w:color w:val="FFFFFF"/>
                <w:sz w:val="20"/>
              </w:rPr>
              <w:t>Term</w:t>
            </w:r>
          </w:p>
        </w:tc>
        <w:tc>
          <w:tcPr>
            <w:tcW w:type="dxa" w:w="6815"/>
            <w:vAlign w:val="center"/>
            <w:shd w:val="clear" w:color="auto" w:fill="172033"/>
          </w:tcPr>
          <w:p>
            <w:pPr>
              <w:spacing w:after="0"/>
            </w:pPr>
            <w:r/>
            <w:r>
              <w:rPr>
                <w:b/>
                <w:color w:val="FFFFFF"/>
                <w:sz w:val="20"/>
              </w:rPr>
              <w:t>Meaning</w:t>
            </w:r>
          </w:p>
        </w:tc>
      </w:tr>
      <w:tr>
        <w:tc>
          <w:tcPr>
            <w:tcW w:type="dxa" w:w="2596"/>
            <w:vAlign w:val="center"/>
          </w:tcPr>
          <w:p>
            <w:pPr>
              <w:spacing w:after="0"/>
            </w:pPr>
            <w:r/>
            <w:r>
              <w:rPr>
                <w:sz w:val="20"/>
              </w:rPr>
              <w:t>Bharat Mata</w:t>
            </w:r>
          </w:p>
        </w:tc>
        <w:tc>
          <w:tcPr>
            <w:tcW w:type="dxa" w:w="6815"/>
            <w:vAlign w:val="center"/>
          </w:tcPr>
          <w:p>
            <w:pPr>
              <w:spacing w:after="0"/>
            </w:pPr>
            <w:r/>
            <w:r>
              <w:rPr>
                <w:sz w:val="20"/>
              </w:rPr>
              <w:t>Image of the nation as a mother figure, painted by Abanindranath Tagore</w:t>
            </w:r>
          </w:p>
        </w:tc>
      </w:tr>
      <w:tr>
        <w:tc>
          <w:tcPr>
            <w:tcW w:type="dxa" w:w="2596"/>
            <w:vAlign w:val="center"/>
            <w:shd w:val="clear" w:color="auto" w:fill="F5EBE7"/>
          </w:tcPr>
          <w:p>
            <w:pPr>
              <w:spacing w:after="0"/>
            </w:pPr>
            <w:r/>
            <w:r>
              <w:rPr>
                <w:sz w:val="20"/>
              </w:rPr>
              <w:t>Vande Mataram</w:t>
            </w:r>
          </w:p>
        </w:tc>
        <w:tc>
          <w:tcPr>
            <w:tcW w:type="dxa" w:w="6815"/>
            <w:vAlign w:val="center"/>
            <w:shd w:val="clear" w:color="auto" w:fill="F5EBE7"/>
          </w:tcPr>
          <w:p>
            <w:pPr>
              <w:spacing w:after="0"/>
            </w:pPr>
            <w:r/>
            <w:r>
              <w:rPr>
                <w:sz w:val="20"/>
              </w:rPr>
              <w:t>Hymn by Bankim Chandra Chattopadhyay</w:t>
            </w:r>
          </w:p>
        </w:tc>
      </w:tr>
      <w:tr>
        <w:tc>
          <w:tcPr>
            <w:tcW w:type="dxa" w:w="2596"/>
            <w:vAlign w:val="center"/>
          </w:tcPr>
          <w:p>
            <w:pPr>
              <w:spacing w:after="0"/>
            </w:pPr>
            <w:r/>
            <w:r>
              <w:rPr>
                <w:sz w:val="20"/>
              </w:rPr>
              <w:t>Swaraj flag</w:t>
            </w:r>
          </w:p>
        </w:tc>
        <w:tc>
          <w:tcPr>
            <w:tcW w:type="dxa" w:w="6815"/>
            <w:vAlign w:val="center"/>
          </w:tcPr>
          <w:p>
            <w:pPr>
              <w:spacing w:after="0"/>
            </w:pPr>
            <w:r/>
            <w:r>
              <w:rPr>
                <w:sz w:val="20"/>
              </w:rPr>
              <w:t>Tricolour with a spinning wheel designed in 1921</w:t>
            </w:r>
          </w:p>
        </w:tc>
      </w:tr>
      <w:tr>
        <w:tc>
          <w:tcPr>
            <w:tcW w:type="dxa" w:w="2596"/>
            <w:vAlign w:val="center"/>
            <w:shd w:val="clear" w:color="auto" w:fill="F5EBE7"/>
          </w:tcPr>
          <w:p>
            <w:pPr>
              <w:spacing w:after="0"/>
            </w:pPr>
            <w:r/>
            <w:r>
              <w:rPr>
                <w:sz w:val="20"/>
              </w:rPr>
              <w:t>Folklore</w:t>
            </w:r>
          </w:p>
        </w:tc>
        <w:tc>
          <w:tcPr>
            <w:tcW w:type="dxa" w:w="6815"/>
            <w:vAlign w:val="center"/>
            <w:shd w:val="clear" w:color="auto" w:fill="F5EBE7"/>
          </w:tcPr>
          <w:p>
            <w:pPr>
              <w:spacing w:after="0"/>
            </w:pPr>
            <w:r/>
            <w:r>
              <w:rPr>
                <w:sz w:val="20"/>
              </w:rPr>
              <w:t>Traditional stories and songs collected to recover national culture</w:t>
            </w:r>
          </w:p>
        </w:tc>
      </w:tr>
    </w:tbl>
    <w:p>
      <w:pPr>
        <w:spacing w:after="80"/>
      </w:pPr>
    </w:p>
    <w:p>
      <w:pPr>
        <w:pStyle w:val="Heading2"/>
      </w:pPr>
      <w:r>
        <w:t>Symbols and Culture</w:t>
      </w:r>
    </w:p>
    <w:p>
      <w:pPr>
        <w:jc w:val="both"/>
      </w:pPr>
      <w:r>
        <w:t>Folk tales were collected to discover a true national culture, the tricolour became a symbol of defiance, and reinterpretation of history encouraged pride in India’s past.</w:t>
      </w:r>
    </w:p>
    <w:p>
      <w:pPr>
        <w:pStyle w:val="ListBullet"/>
      </w:pPr>
      <w:r>
        <w:t>Painting of Bharat Mata</w:t>
      </w:r>
    </w:p>
    <w:p>
      <w:pPr>
        <w:pStyle w:val="ListBullet"/>
      </w:pPr>
      <w:r>
        <w:t>Collection of folk songs and stories</w:t>
      </w:r>
    </w:p>
    <w:p>
      <w:pPr>
        <w:pStyle w:val="ListBullet"/>
      </w:pPr>
      <w:r>
        <w:t>Swaraj flag with the charkha</w:t>
      </w:r>
    </w:p>
    <w:p>
      <w:pPr>
        <w:pStyle w:val="ListBullet"/>
      </w:pPr>
      <w:r>
        <w:t>Histories of ancient achievements</w:t>
      </w:r>
    </w:p>
    <w:p>
      <w:pPr>
        <w:pStyle w:val="Heading2"/>
      </w:pPr>
      <w:r>
        <w:t>Solved Examples</w:t>
      </w:r>
    </w:p>
    <w:p>
      <w:pPr>
        <w:keepNext/>
        <w:spacing w:after="20"/>
      </w:pPr>
      <w:r>
        <w:rPr>
          <w:b/>
          <w:color w:val="9A3412"/>
        </w:rPr>
        <w:t xml:space="preserve">Q1. </w:t>
      </w:r>
      <w:r>
        <w:rPr>
          <w:b/>
        </w:rPr>
        <w:t>How did the image of Bharat Mata help nationalism?</w:t>
      </w:r>
    </w:p>
    <w:p>
      <w:pPr>
        <w:spacing w:after="120"/>
      </w:pPr>
      <w:r>
        <w:rPr>
          <w:color w:val="172033"/>
        </w:rPr>
        <w:t>It gave a visible, emotional identity to the nation, and devotion to the mother figure became a sign of patriotism.</w:t>
      </w:r>
    </w:p>
    <w:p>
      <w:pPr>
        <w:keepNext/>
        <w:spacing w:after="20"/>
      </w:pPr>
      <w:r>
        <w:rPr>
          <w:b/>
          <w:color w:val="9A3412"/>
        </w:rPr>
        <w:t xml:space="preserve">Q2. </w:t>
      </w:r>
      <w:r>
        <w:rPr>
          <w:b/>
        </w:rPr>
        <w:t>Why did nationalists reinterpret history?</w:t>
      </w:r>
    </w:p>
    <w:p>
      <w:pPr>
        <w:spacing w:after="120"/>
      </w:pPr>
      <w:r>
        <w:rPr>
          <w:color w:val="172033"/>
        </w:rPr>
        <w:t>To counter British claims that Indians were backward and to instil pride in India’s achievements.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5EBE7"/>
            <w:tcBorders>
              <w:left w:val="single" w:sz="36" w:space="0" w:color="9A3412"/>
            </w:tcBorders>
          </w:tcPr>
          <w:p>
            <w:pPr>
              <w:spacing w:after="60"/>
            </w:pPr>
            <w:r>
              <w:rPr>
                <w:b/>
                <w:color w:val="9A3412"/>
              </w:rPr>
              <w:t>Exam tip</w:t>
            </w:r>
          </w:p>
          <w:p>
            <w:pPr>
              <w:spacing w:after="0"/>
            </w:pPr>
            <w:r>
              <w:t>Link each symbol to a person or year — examiners reward specific detail.</w:t>
            </w:r>
          </w:p>
        </w:tc>
      </w:tr>
    </w:tbl>
    <w:p>
      <w:pPr>
        <w:spacing w:after="40"/>
      </w:pPr>
    </w:p>
    <w:p>
      <w:pPr>
        <w:pStyle w:val="Heading2"/>
      </w:pPr>
      <w:r>
        <w:t>Practice Questions</w:t>
      </w:r>
    </w:p>
    <w:p>
      <w:pPr>
        <w:spacing w:after="40"/>
      </w:pPr>
      <w:r>
        <w:rPr>
          <w:b/>
        </w:rPr>
        <w:t>A. Multiple choice</w:t>
      </w:r>
    </w:p>
    <w:p>
      <w:pPr>
        <w:keepNext/>
        <w:spacing w:after="20"/>
      </w:pPr>
      <w:r>
        <w:t>1. Vande Mataram was written by</w:t>
      </w:r>
    </w:p>
    <w:p>
      <w:pPr>
        <w:spacing w:after="80"/>
      </w:pPr>
      <w:r>
        <w:rPr>
          <w:color w:val="6F7581"/>
        </w:rPr>
        <w:t>(a) Rabindranath Tagore     (b) Bankim Chandra     (c) Gandhiji     (d) Nehru</w:t>
      </w:r>
    </w:p>
    <w:p>
      <w:pPr>
        <w:keepNext/>
        <w:spacing w:after="20"/>
      </w:pPr>
      <w:r>
        <w:t>2. The Swaraj flag of 1921 had a</w:t>
      </w:r>
    </w:p>
    <w:p>
      <w:pPr>
        <w:spacing w:after="80"/>
      </w:pPr>
      <w:r>
        <w:rPr>
          <w:color w:val="6F7581"/>
        </w:rPr>
        <w:t>(a) Lotus     (b) Spinning wheel     (c) Chakra     (d) Star</w:t>
      </w:r>
    </w:p>
    <w:p>
      <w:pPr>
        <w:keepNext/>
        <w:spacing w:after="20"/>
      </w:pPr>
      <w:r>
        <w:t>3. Bharat Mata was first painted by</w:t>
      </w:r>
    </w:p>
    <w:p>
      <w:pPr>
        <w:spacing w:after="80"/>
      </w:pPr>
      <w:r>
        <w:rPr>
          <w:color w:val="6F7581"/>
        </w:rPr>
        <w:t>(a) Raja Ravi Varma     (b) Abanindranath Tagore     (c) Nandalal Bose     (d) M. F. Husain</w:t>
      </w:r>
    </w:p>
    <w:p>
      <w:pPr>
        <w:keepNext/>
        <w:spacing w:after="20"/>
      </w:pPr>
      <w:r>
        <w:t>4. Folklore was collected to</w:t>
      </w:r>
    </w:p>
    <w:p>
      <w:pPr>
        <w:spacing w:after="80"/>
      </w:pPr>
      <w:r>
        <w:rPr>
          <w:color w:val="6F7581"/>
        </w:rPr>
        <w:t>(a) Entertain     (b) Discover national culture     (c) Teach English     (d) Raise taxes</w:t>
      </w:r>
    </w:p>
    <w:p>
      <w:pPr>
        <w:spacing w:after="40" w:before="120"/>
      </w:pPr>
      <w:r>
        <w:rPr>
          <w:b/>
        </w:rPr>
        <w:t>B. Short answer</w:t>
      </w:r>
    </w:p>
    <w:p>
      <w:pPr>
        <w:pStyle w:val="ListNumber"/>
      </w:pPr>
      <w:r>
        <w:t>Name two symbols that united Indians.</w:t>
      </w:r>
    </w:p>
    <w:p>
      <w:pPr>
        <w:pStyle w:val="ListNumber"/>
      </w:pPr>
      <w:r>
        <w:t>What role did folklore play in nationalism?</w:t>
      </w:r>
    </w:p>
    <w:p>
      <w:pPr>
        <w:pStyle w:val="ListNumber"/>
      </w:pPr>
      <w:r>
        <w:t>Who painted Bharat Mata?</w:t>
      </w:r>
    </w:p>
    <w:p>
      <w:pPr>
        <w:spacing w:after="40" w:before="120"/>
      </w:pPr>
      <w:r>
        <w:rPr>
          <w:b/>
        </w:rPr>
        <w:t>C. Long answer</w:t>
      </w:r>
    </w:p>
    <w:p>
      <w:pPr>
        <w:pStyle w:val="ListNumber"/>
      </w:pPr>
      <w:r>
        <w:t>How did cultural processes help create a sense of collective belonging?</w:t>
      </w:r>
    </w:p>
    <w:p>
      <w:pPr>
        <w:pStyle w:val="ListNumber"/>
      </w:pPr>
      <w:r>
        <w:t>Explain the role of symbols and history in the growth of nationalism.</w:t>
      </w:r>
    </w:p>
    <w:p>
      <w:pPr>
        <w:pStyle w:val="Heading1"/>
      </w:pPr>
      <w:r>
        <w:t>Quick Revision Sheet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36"/>
        <w:gridCol w:w="2336"/>
        <w:gridCol w:w="4738"/>
      </w:tblGrid>
      <w:tr>
        <w:trPr>
          <w:tblHeader/>
        </w:trPr>
        <w:tc>
          <w:tcPr>
            <w:tcW w:type="dxa" w:w="2337"/>
            <w:vAlign w:val="center"/>
            <w:shd w:val="clear" w:color="auto" w:fill="172033"/>
          </w:tcPr>
          <w:p>
            <w:pPr>
              <w:spacing w:after="0"/>
            </w:pPr>
            <w:r/>
            <w:r>
              <w:rPr>
                <w:b/>
                <w:color w:val="FFFFFF"/>
                <w:sz w:val="20"/>
              </w:rPr>
              <w:t>Chapter</w:t>
            </w:r>
          </w:p>
        </w:tc>
        <w:tc>
          <w:tcPr>
            <w:tcW w:type="dxa" w:w="2337"/>
            <w:vAlign w:val="center"/>
            <w:shd w:val="clear" w:color="auto" w:fill="172033"/>
          </w:tcPr>
          <w:p>
            <w:pPr>
              <w:spacing w:after="0"/>
            </w:pPr>
            <w:r/>
            <w:r>
              <w:rPr>
                <w:b/>
                <w:color w:val="FFFFFF"/>
                <w:sz w:val="20"/>
              </w:rPr>
              <w:t>Term</w:t>
            </w:r>
          </w:p>
        </w:tc>
        <w:tc>
          <w:tcPr>
            <w:tcW w:type="dxa" w:w="4738"/>
            <w:vAlign w:val="center"/>
            <w:shd w:val="clear" w:color="auto" w:fill="172033"/>
          </w:tcPr>
          <w:p>
            <w:pPr>
              <w:spacing w:after="0"/>
            </w:pPr>
            <w:r/>
            <w:r>
              <w:rPr>
                <w:b/>
                <w:color w:val="FFFFFF"/>
                <w:sz w:val="20"/>
              </w:rPr>
              <w:t>Remember</w:t>
            </w:r>
          </w:p>
        </w:tc>
      </w:tr>
      <w:tr>
        <w:tc>
          <w:tcPr>
            <w:tcW w:type="dxa" w:w="2337"/>
            <w:vAlign w:val="center"/>
          </w:tcPr>
          <w:p>
            <w:pPr>
              <w:spacing w:after="0"/>
            </w:pPr>
            <w:r/>
            <w:r>
              <w:rPr>
                <w:sz w:val="20"/>
              </w:rPr>
              <w:t>The First World War, Khilafat and Non-Cooperation</w:t>
            </w:r>
          </w:p>
        </w:tc>
        <w:tc>
          <w:tcPr>
            <w:tcW w:type="dxa" w:w="2337"/>
            <w:vAlign w:val="center"/>
          </w:tcPr>
          <w:p>
            <w:pPr>
              <w:spacing w:after="0"/>
            </w:pPr>
            <w:r/>
            <w:r>
              <w:rPr>
                <w:sz w:val="20"/>
              </w:rPr>
              <w:t>Satyagraha</w:t>
            </w:r>
          </w:p>
        </w:tc>
        <w:tc>
          <w:tcPr>
            <w:tcW w:type="dxa" w:w="4738"/>
            <w:vAlign w:val="center"/>
          </w:tcPr>
          <w:p>
            <w:pPr>
              <w:spacing w:after="0"/>
            </w:pPr>
            <w:r/>
            <w:r>
              <w:rPr>
                <w:sz w:val="20"/>
              </w:rPr>
              <w:t>Mass agitation based on truth and non-violence</w:t>
            </w:r>
          </w:p>
        </w:tc>
      </w:tr>
      <w:tr>
        <w:tc>
          <w:tcPr>
            <w:tcW w:type="dxa" w:w="2337"/>
            <w:vAlign w:val="center"/>
            <w:shd w:val="clear" w:color="auto" w:fill="F5EBE7"/>
          </w:tcPr>
          <w:p>
            <w:pPr>
              <w:spacing w:after="0"/>
            </w:pPr>
            <w:r/>
            <w:r>
              <w:rPr>
                <w:sz w:val="20"/>
              </w:rPr>
              <w:t>The First World War, Khilafat and Non-Cooperation</w:t>
            </w:r>
          </w:p>
        </w:tc>
        <w:tc>
          <w:tcPr>
            <w:tcW w:type="dxa" w:w="2337"/>
            <w:vAlign w:val="center"/>
            <w:shd w:val="clear" w:color="auto" w:fill="F5EBE7"/>
          </w:tcPr>
          <w:p>
            <w:pPr>
              <w:spacing w:after="0"/>
            </w:pPr>
            <w:r/>
            <w:r>
              <w:rPr>
                <w:sz w:val="20"/>
              </w:rPr>
              <w:t>Rowlatt Act (1919)</w:t>
            </w:r>
          </w:p>
        </w:tc>
        <w:tc>
          <w:tcPr>
            <w:tcW w:type="dxa" w:w="4738"/>
            <w:vAlign w:val="center"/>
            <w:shd w:val="clear" w:color="auto" w:fill="F5EBE7"/>
          </w:tcPr>
          <w:p>
            <w:pPr>
              <w:spacing w:after="0"/>
            </w:pPr>
            <w:r/>
            <w:r>
              <w:rPr>
                <w:sz w:val="20"/>
              </w:rPr>
              <w:t>Law allowing detention of political prisoners without trial</w:t>
            </w:r>
          </w:p>
        </w:tc>
      </w:tr>
      <w:tr>
        <w:tc>
          <w:tcPr>
            <w:tcW w:type="dxa" w:w="2337"/>
            <w:vAlign w:val="center"/>
          </w:tcPr>
          <w:p>
            <w:pPr>
              <w:spacing w:after="0"/>
            </w:pPr>
            <w:r/>
            <w:r>
              <w:rPr>
                <w:sz w:val="20"/>
              </w:rPr>
              <w:t>The First World War, Khilafat and Non-Cooperation</w:t>
            </w:r>
          </w:p>
        </w:tc>
        <w:tc>
          <w:tcPr>
            <w:tcW w:type="dxa" w:w="2337"/>
            <w:vAlign w:val="center"/>
          </w:tcPr>
          <w:p>
            <w:pPr>
              <w:spacing w:after="0"/>
            </w:pPr>
            <w:r/>
            <w:r>
              <w:rPr>
                <w:sz w:val="20"/>
              </w:rPr>
              <w:t>Jallianwala Bagh</w:t>
            </w:r>
          </w:p>
        </w:tc>
        <w:tc>
          <w:tcPr>
            <w:tcW w:type="dxa" w:w="4738"/>
            <w:vAlign w:val="center"/>
          </w:tcPr>
          <w:p>
            <w:pPr>
              <w:spacing w:after="0"/>
            </w:pPr>
            <w:r/>
            <w:r>
              <w:rPr>
                <w:sz w:val="20"/>
              </w:rPr>
              <w:t>Massacre at Amritsar on 13 April 1919</w:t>
            </w:r>
          </w:p>
        </w:tc>
      </w:tr>
      <w:tr>
        <w:tc>
          <w:tcPr>
            <w:tcW w:type="dxa" w:w="2337"/>
            <w:vAlign w:val="center"/>
            <w:shd w:val="clear" w:color="auto" w:fill="F5EBE7"/>
          </w:tcPr>
          <w:p>
            <w:pPr>
              <w:spacing w:after="0"/>
            </w:pPr>
            <w:r/>
            <w:r>
              <w:rPr>
                <w:sz w:val="20"/>
              </w:rPr>
              <w:t>Civil Disobedience Movement</w:t>
            </w:r>
          </w:p>
        </w:tc>
        <w:tc>
          <w:tcPr>
            <w:tcW w:type="dxa" w:w="2337"/>
            <w:vAlign w:val="center"/>
            <w:shd w:val="clear" w:color="auto" w:fill="F5EBE7"/>
          </w:tcPr>
          <w:p>
            <w:pPr>
              <w:spacing w:after="0"/>
            </w:pPr>
            <w:r/>
            <w:r>
              <w:rPr>
                <w:sz w:val="20"/>
              </w:rPr>
              <w:t>Simon Commission</w:t>
            </w:r>
          </w:p>
        </w:tc>
        <w:tc>
          <w:tcPr>
            <w:tcW w:type="dxa" w:w="4738"/>
            <w:vAlign w:val="center"/>
            <w:shd w:val="clear" w:color="auto" w:fill="F5EBE7"/>
          </w:tcPr>
          <w:p>
            <w:pPr>
              <w:spacing w:after="0"/>
            </w:pPr>
            <w:r/>
            <w:r>
              <w:rPr>
                <w:sz w:val="20"/>
              </w:rPr>
              <w:t>All-British statutory commission that arrived in 1928</w:t>
            </w:r>
          </w:p>
        </w:tc>
      </w:tr>
      <w:tr>
        <w:tc>
          <w:tcPr>
            <w:tcW w:type="dxa" w:w="2337"/>
            <w:vAlign w:val="center"/>
          </w:tcPr>
          <w:p>
            <w:pPr>
              <w:spacing w:after="0"/>
            </w:pPr>
            <w:r/>
            <w:r>
              <w:rPr>
                <w:sz w:val="20"/>
              </w:rPr>
              <w:t>Civil Disobedience Movement</w:t>
            </w:r>
          </w:p>
        </w:tc>
        <w:tc>
          <w:tcPr>
            <w:tcW w:type="dxa" w:w="2337"/>
            <w:vAlign w:val="center"/>
          </w:tcPr>
          <w:p>
            <w:pPr>
              <w:spacing w:after="0"/>
            </w:pPr>
            <w:r/>
            <w:r>
              <w:rPr>
                <w:sz w:val="20"/>
              </w:rPr>
              <w:t>Purna Swaraj</w:t>
            </w:r>
          </w:p>
        </w:tc>
        <w:tc>
          <w:tcPr>
            <w:tcW w:type="dxa" w:w="4738"/>
            <w:vAlign w:val="center"/>
          </w:tcPr>
          <w:p>
            <w:pPr>
              <w:spacing w:after="0"/>
            </w:pPr>
            <w:r/>
            <w:r>
              <w:rPr>
                <w:sz w:val="20"/>
              </w:rPr>
              <w:t>Complete independence, demanded at Lahore in 1929</w:t>
            </w:r>
          </w:p>
        </w:tc>
      </w:tr>
      <w:tr>
        <w:tc>
          <w:tcPr>
            <w:tcW w:type="dxa" w:w="2337"/>
            <w:vAlign w:val="center"/>
            <w:shd w:val="clear" w:color="auto" w:fill="F5EBE7"/>
          </w:tcPr>
          <w:p>
            <w:pPr>
              <w:spacing w:after="0"/>
            </w:pPr>
            <w:r/>
            <w:r>
              <w:rPr>
                <w:sz w:val="20"/>
              </w:rPr>
              <w:t>Civil Disobedience Movement</w:t>
            </w:r>
          </w:p>
        </w:tc>
        <w:tc>
          <w:tcPr>
            <w:tcW w:type="dxa" w:w="2337"/>
            <w:vAlign w:val="center"/>
            <w:shd w:val="clear" w:color="auto" w:fill="F5EBE7"/>
          </w:tcPr>
          <w:p>
            <w:pPr>
              <w:spacing w:after="0"/>
            </w:pPr>
            <w:r/>
            <w:r>
              <w:rPr>
                <w:sz w:val="20"/>
              </w:rPr>
              <w:t>Dandi March</w:t>
            </w:r>
          </w:p>
        </w:tc>
        <w:tc>
          <w:tcPr>
            <w:tcW w:type="dxa" w:w="4738"/>
            <w:vAlign w:val="center"/>
            <w:shd w:val="clear" w:color="auto" w:fill="F5EBE7"/>
          </w:tcPr>
          <w:p>
            <w:pPr>
              <w:spacing w:after="0"/>
            </w:pPr>
            <w:r/>
            <w:r>
              <w:rPr>
                <w:sz w:val="20"/>
              </w:rPr>
              <w:t>Gandhiji’s 240-mile march to make salt in 1930</w:t>
            </w:r>
          </w:p>
        </w:tc>
      </w:tr>
      <w:tr>
        <w:tc>
          <w:tcPr>
            <w:tcW w:type="dxa" w:w="2337"/>
            <w:vAlign w:val="center"/>
          </w:tcPr>
          <w:p>
            <w:pPr>
              <w:spacing w:after="0"/>
            </w:pPr>
            <w:r/>
            <w:r>
              <w:rPr>
                <w:sz w:val="20"/>
              </w:rPr>
              <w:t>The Sense of Collective Belonging</w:t>
            </w:r>
          </w:p>
        </w:tc>
        <w:tc>
          <w:tcPr>
            <w:tcW w:type="dxa" w:w="2337"/>
            <w:vAlign w:val="center"/>
          </w:tcPr>
          <w:p>
            <w:pPr>
              <w:spacing w:after="0"/>
            </w:pPr>
            <w:r/>
            <w:r>
              <w:rPr>
                <w:sz w:val="20"/>
              </w:rPr>
              <w:t>Bharat Mata</w:t>
            </w:r>
          </w:p>
        </w:tc>
        <w:tc>
          <w:tcPr>
            <w:tcW w:type="dxa" w:w="4738"/>
            <w:vAlign w:val="center"/>
          </w:tcPr>
          <w:p>
            <w:pPr>
              <w:spacing w:after="0"/>
            </w:pPr>
            <w:r/>
            <w:r>
              <w:rPr>
                <w:sz w:val="20"/>
              </w:rPr>
              <w:t>Image of the nation as a mother figure, painted by Abanindranath Tagore</w:t>
            </w:r>
          </w:p>
        </w:tc>
      </w:tr>
      <w:tr>
        <w:tc>
          <w:tcPr>
            <w:tcW w:type="dxa" w:w="2337"/>
            <w:vAlign w:val="center"/>
            <w:shd w:val="clear" w:color="auto" w:fill="F5EBE7"/>
          </w:tcPr>
          <w:p>
            <w:pPr>
              <w:spacing w:after="0"/>
            </w:pPr>
            <w:r/>
            <w:r>
              <w:rPr>
                <w:sz w:val="20"/>
              </w:rPr>
              <w:t>The Sense of Collective Belonging</w:t>
            </w:r>
          </w:p>
        </w:tc>
        <w:tc>
          <w:tcPr>
            <w:tcW w:type="dxa" w:w="2337"/>
            <w:vAlign w:val="center"/>
            <w:shd w:val="clear" w:color="auto" w:fill="F5EBE7"/>
          </w:tcPr>
          <w:p>
            <w:pPr>
              <w:spacing w:after="0"/>
            </w:pPr>
            <w:r/>
            <w:r>
              <w:rPr>
                <w:sz w:val="20"/>
              </w:rPr>
              <w:t>Vande Mataram</w:t>
            </w:r>
          </w:p>
        </w:tc>
        <w:tc>
          <w:tcPr>
            <w:tcW w:type="dxa" w:w="4738"/>
            <w:vAlign w:val="center"/>
            <w:shd w:val="clear" w:color="auto" w:fill="F5EBE7"/>
          </w:tcPr>
          <w:p>
            <w:pPr>
              <w:spacing w:after="0"/>
            </w:pPr>
            <w:r/>
            <w:r>
              <w:rPr>
                <w:sz w:val="20"/>
              </w:rPr>
              <w:t>Hymn by Bankim Chandra Chattopadhyay</w:t>
            </w:r>
          </w:p>
        </w:tc>
      </w:tr>
      <w:tr>
        <w:tc>
          <w:tcPr>
            <w:tcW w:type="dxa" w:w="2337"/>
            <w:vAlign w:val="center"/>
          </w:tcPr>
          <w:p>
            <w:pPr>
              <w:spacing w:after="0"/>
            </w:pPr>
            <w:r/>
            <w:r>
              <w:rPr>
                <w:sz w:val="20"/>
              </w:rPr>
              <w:t>The Sense of Collective Belonging</w:t>
            </w:r>
          </w:p>
        </w:tc>
        <w:tc>
          <w:tcPr>
            <w:tcW w:type="dxa" w:w="2337"/>
            <w:vAlign w:val="center"/>
          </w:tcPr>
          <w:p>
            <w:pPr>
              <w:spacing w:after="0"/>
            </w:pPr>
            <w:r/>
            <w:r>
              <w:rPr>
                <w:sz w:val="20"/>
              </w:rPr>
              <w:t>Swaraj flag</w:t>
            </w:r>
          </w:p>
        </w:tc>
        <w:tc>
          <w:tcPr>
            <w:tcW w:type="dxa" w:w="4738"/>
            <w:vAlign w:val="center"/>
          </w:tcPr>
          <w:p>
            <w:pPr>
              <w:spacing w:after="0"/>
            </w:pPr>
            <w:r/>
            <w:r>
              <w:rPr>
                <w:sz w:val="20"/>
              </w:rPr>
              <w:t>Tricolour with a spinning wheel designed in 1921</w:t>
            </w:r>
          </w:p>
        </w:tc>
      </w:tr>
    </w:tbl>
    <w:p>
      <w:pPr>
        <w:spacing w:after="80"/>
      </w:pPr>
    </w:p>
    <w:p>
      <w:pPr>
        <w:pStyle w:val="Heading1"/>
      </w:pPr>
      <w:r>
        <w:t>Answer Key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72033"/>
          </w:tcPr>
          <w:p>
            <w:pPr>
              <w:spacing w:after="0"/>
            </w:pPr>
            <w:r/>
            <w:r>
              <w:rPr>
                <w:b/>
                <w:color w:val="FFFFFF"/>
                <w:sz w:val="20"/>
              </w:rPr>
              <w:t>Chapter</w:t>
            </w:r>
          </w:p>
        </w:tc>
        <w:tc>
          <w:tcPr>
            <w:tcW w:type="dxa" w:w="3137"/>
            <w:vAlign w:val="center"/>
            <w:shd w:val="clear" w:color="auto" w:fill="172033"/>
          </w:tcPr>
          <w:p>
            <w:pPr>
              <w:spacing w:after="0"/>
            </w:pPr>
            <w:r/>
            <w:r>
              <w:rPr>
                <w:b/>
                <w:color w:val="FFFFFF"/>
                <w:sz w:val="20"/>
              </w:rPr>
              <w:t>Question</w:t>
            </w:r>
          </w:p>
        </w:tc>
        <w:tc>
          <w:tcPr>
            <w:tcW w:type="dxa" w:w="3137"/>
            <w:vAlign w:val="center"/>
            <w:shd w:val="clear" w:color="auto" w:fill="172033"/>
          </w:tcPr>
          <w:p>
            <w:pPr>
              <w:spacing w:after="0"/>
            </w:pPr>
            <w:r/>
            <w:r>
              <w:rPr>
                <w:b/>
                <w:color w:val="FFFFFF"/>
                <w:sz w:val="20"/>
              </w:rPr>
              <w:t>Answer</w:t>
            </w:r>
          </w:p>
        </w:tc>
      </w:tr>
      <w:tr>
        <w:tc>
          <w:tcPr>
            <w:tcW w:type="dxa" w:w="3137"/>
            <w:vAlign w:val="center"/>
          </w:tcPr>
          <w:p>
            <w:pPr>
              <w:spacing w:after="0"/>
            </w:pPr>
            <w:r/>
            <w:r>
              <w:rPr>
                <w:sz w:val="20"/>
              </w:rPr>
              <w:t>1</w:t>
            </w:r>
          </w:p>
        </w:tc>
        <w:tc>
          <w:tcPr>
            <w:tcW w:type="dxa" w:w="3137"/>
            <w:vAlign w:val="center"/>
          </w:tcPr>
          <w:p>
            <w:pPr>
              <w:spacing w:after="0"/>
            </w:pPr>
            <w:r/>
            <w:r>
              <w:rPr>
                <w:sz w:val="20"/>
              </w:rPr>
              <w:t>1</w:t>
            </w:r>
          </w:p>
        </w:tc>
        <w:tc>
          <w:tcPr>
            <w:tcW w:type="dxa" w:w="3137"/>
            <w:vAlign w:val="center"/>
          </w:tcPr>
          <w:p>
            <w:pPr>
              <w:spacing w:after="0"/>
            </w:pPr>
            <w:r/>
            <w:r>
              <w:rPr>
                <w:sz w:val="20"/>
              </w:rPr>
              <w:t>b</w:t>
            </w:r>
          </w:p>
        </w:tc>
      </w:tr>
      <w:tr>
        <w:tc>
          <w:tcPr>
            <w:tcW w:type="dxa" w:w="3137"/>
            <w:vAlign w:val="center"/>
            <w:shd w:val="clear" w:color="auto" w:fill="F5EBE7"/>
          </w:tcPr>
          <w:p>
            <w:pPr>
              <w:spacing w:after="0"/>
            </w:pPr>
            <w:r/>
            <w:r>
              <w:rPr>
                <w:sz w:val="20"/>
              </w:rPr>
              <w:t>1</w:t>
            </w:r>
          </w:p>
        </w:tc>
        <w:tc>
          <w:tcPr>
            <w:tcW w:type="dxa" w:w="3137"/>
            <w:vAlign w:val="center"/>
            <w:shd w:val="clear" w:color="auto" w:fill="F5EBE7"/>
          </w:tcPr>
          <w:p>
            <w:pPr>
              <w:spacing w:after="0"/>
            </w:pPr>
            <w:r/>
            <w:r>
              <w:rPr>
                <w:sz w:val="20"/>
              </w:rPr>
              <w:t>2</w:t>
            </w:r>
          </w:p>
        </w:tc>
        <w:tc>
          <w:tcPr>
            <w:tcW w:type="dxa" w:w="3137"/>
            <w:vAlign w:val="center"/>
            <w:shd w:val="clear" w:color="auto" w:fill="F5EBE7"/>
          </w:tcPr>
          <w:p>
            <w:pPr>
              <w:spacing w:after="0"/>
            </w:pPr>
            <w:r/>
            <w:r>
              <w:rPr>
                <w:sz w:val="20"/>
              </w:rPr>
              <w:t>b</w:t>
            </w:r>
          </w:p>
        </w:tc>
      </w:tr>
      <w:tr>
        <w:tc>
          <w:tcPr>
            <w:tcW w:type="dxa" w:w="3137"/>
            <w:vAlign w:val="center"/>
          </w:tcPr>
          <w:p>
            <w:pPr>
              <w:spacing w:after="0"/>
            </w:pPr>
            <w:r/>
            <w:r>
              <w:rPr>
                <w:sz w:val="20"/>
              </w:rPr>
              <w:t>1</w:t>
            </w:r>
          </w:p>
        </w:tc>
        <w:tc>
          <w:tcPr>
            <w:tcW w:type="dxa" w:w="3137"/>
            <w:vAlign w:val="center"/>
          </w:tcPr>
          <w:p>
            <w:pPr>
              <w:spacing w:after="0"/>
            </w:pPr>
            <w:r/>
            <w:r>
              <w:rPr>
                <w:sz w:val="20"/>
              </w:rPr>
              <w:t>3</w:t>
            </w:r>
          </w:p>
        </w:tc>
        <w:tc>
          <w:tcPr>
            <w:tcW w:type="dxa" w:w="3137"/>
            <w:vAlign w:val="center"/>
          </w:tcPr>
          <w:p>
            <w:pPr>
              <w:spacing w:after="0"/>
            </w:pPr>
            <w:r/>
            <w:r>
              <w:rPr>
                <w:sz w:val="20"/>
              </w:rPr>
              <w:t>b</w:t>
            </w:r>
          </w:p>
        </w:tc>
      </w:tr>
      <w:tr>
        <w:tc>
          <w:tcPr>
            <w:tcW w:type="dxa" w:w="3137"/>
            <w:vAlign w:val="center"/>
            <w:shd w:val="clear" w:color="auto" w:fill="F5EBE7"/>
          </w:tcPr>
          <w:p>
            <w:pPr>
              <w:spacing w:after="0"/>
            </w:pPr>
            <w:r/>
            <w:r>
              <w:rPr>
                <w:sz w:val="20"/>
              </w:rPr>
              <w:t>1</w:t>
            </w:r>
          </w:p>
        </w:tc>
        <w:tc>
          <w:tcPr>
            <w:tcW w:type="dxa" w:w="3137"/>
            <w:vAlign w:val="center"/>
            <w:shd w:val="clear" w:color="auto" w:fill="F5EBE7"/>
          </w:tcPr>
          <w:p>
            <w:pPr>
              <w:spacing w:after="0"/>
            </w:pPr>
            <w:r/>
            <w:r>
              <w:rPr>
                <w:sz w:val="20"/>
              </w:rPr>
              <w:t>4</w:t>
            </w:r>
          </w:p>
        </w:tc>
        <w:tc>
          <w:tcPr>
            <w:tcW w:type="dxa" w:w="3137"/>
            <w:vAlign w:val="center"/>
            <w:shd w:val="clear" w:color="auto" w:fill="F5EBE7"/>
          </w:tcPr>
          <w:p>
            <w:pPr>
              <w:spacing w:after="0"/>
            </w:pPr>
            <w:r/>
            <w:r>
              <w:rPr>
                <w:sz w:val="20"/>
              </w:rPr>
              <w:t>a</w:t>
            </w:r>
          </w:p>
        </w:tc>
      </w:tr>
      <w:tr>
        <w:tc>
          <w:tcPr>
            <w:tcW w:type="dxa" w:w="3137"/>
            <w:vAlign w:val="center"/>
          </w:tcPr>
          <w:p>
            <w:pPr>
              <w:spacing w:after="0"/>
            </w:pPr>
            <w:r/>
            <w:r>
              <w:rPr>
                <w:sz w:val="20"/>
              </w:rPr>
              <w:t>2</w:t>
            </w:r>
          </w:p>
        </w:tc>
        <w:tc>
          <w:tcPr>
            <w:tcW w:type="dxa" w:w="3137"/>
            <w:vAlign w:val="center"/>
          </w:tcPr>
          <w:p>
            <w:pPr>
              <w:spacing w:after="0"/>
            </w:pPr>
            <w:r/>
            <w:r>
              <w:rPr>
                <w:sz w:val="20"/>
              </w:rPr>
              <w:t>1</w:t>
            </w:r>
          </w:p>
        </w:tc>
        <w:tc>
          <w:tcPr>
            <w:tcW w:type="dxa" w:w="3137"/>
            <w:vAlign w:val="center"/>
          </w:tcPr>
          <w:p>
            <w:pPr>
              <w:spacing w:after="0"/>
            </w:pPr>
            <w:r/>
            <w:r>
              <w:rPr>
                <w:sz w:val="20"/>
              </w:rPr>
              <w:t>b</w:t>
            </w:r>
          </w:p>
        </w:tc>
      </w:tr>
      <w:tr>
        <w:tc>
          <w:tcPr>
            <w:tcW w:type="dxa" w:w="3137"/>
            <w:vAlign w:val="center"/>
            <w:shd w:val="clear" w:color="auto" w:fill="F5EBE7"/>
          </w:tcPr>
          <w:p>
            <w:pPr>
              <w:spacing w:after="0"/>
            </w:pPr>
            <w:r/>
            <w:r>
              <w:rPr>
                <w:sz w:val="20"/>
              </w:rPr>
              <w:t>2</w:t>
            </w:r>
          </w:p>
        </w:tc>
        <w:tc>
          <w:tcPr>
            <w:tcW w:type="dxa" w:w="3137"/>
            <w:vAlign w:val="center"/>
            <w:shd w:val="clear" w:color="auto" w:fill="F5EBE7"/>
          </w:tcPr>
          <w:p>
            <w:pPr>
              <w:spacing w:after="0"/>
            </w:pPr>
            <w:r/>
            <w:r>
              <w:rPr>
                <w:sz w:val="20"/>
              </w:rPr>
              <w:t>2</w:t>
            </w:r>
          </w:p>
        </w:tc>
        <w:tc>
          <w:tcPr>
            <w:tcW w:type="dxa" w:w="3137"/>
            <w:vAlign w:val="center"/>
            <w:shd w:val="clear" w:color="auto" w:fill="F5EBE7"/>
          </w:tcPr>
          <w:p>
            <w:pPr>
              <w:spacing w:after="0"/>
            </w:pPr>
            <w:r/>
            <w:r>
              <w:rPr>
                <w:sz w:val="20"/>
              </w:rPr>
              <w:t>b</w:t>
            </w:r>
          </w:p>
        </w:tc>
      </w:tr>
      <w:tr>
        <w:tc>
          <w:tcPr>
            <w:tcW w:type="dxa" w:w="3137"/>
            <w:vAlign w:val="center"/>
          </w:tcPr>
          <w:p>
            <w:pPr>
              <w:spacing w:after="0"/>
            </w:pPr>
            <w:r/>
            <w:r>
              <w:rPr>
                <w:sz w:val="20"/>
              </w:rPr>
              <w:t>2</w:t>
            </w:r>
          </w:p>
        </w:tc>
        <w:tc>
          <w:tcPr>
            <w:tcW w:type="dxa" w:w="3137"/>
            <w:vAlign w:val="center"/>
          </w:tcPr>
          <w:p>
            <w:pPr>
              <w:spacing w:after="0"/>
            </w:pPr>
            <w:r/>
            <w:r>
              <w:rPr>
                <w:sz w:val="20"/>
              </w:rPr>
              <w:t>3</w:t>
            </w:r>
          </w:p>
        </w:tc>
        <w:tc>
          <w:tcPr>
            <w:tcW w:type="dxa" w:w="3137"/>
            <w:vAlign w:val="center"/>
          </w:tcPr>
          <w:p>
            <w:pPr>
              <w:spacing w:after="0"/>
            </w:pPr>
            <w:r/>
            <w:r>
              <w:rPr>
                <w:sz w:val="20"/>
              </w:rPr>
              <w:t>b</w:t>
            </w:r>
          </w:p>
        </w:tc>
      </w:tr>
      <w:tr>
        <w:tc>
          <w:tcPr>
            <w:tcW w:type="dxa" w:w="3137"/>
            <w:vAlign w:val="center"/>
            <w:shd w:val="clear" w:color="auto" w:fill="F5EBE7"/>
          </w:tcPr>
          <w:p>
            <w:pPr>
              <w:spacing w:after="0"/>
            </w:pPr>
            <w:r/>
            <w:r>
              <w:rPr>
                <w:sz w:val="20"/>
              </w:rPr>
              <w:t>2</w:t>
            </w:r>
          </w:p>
        </w:tc>
        <w:tc>
          <w:tcPr>
            <w:tcW w:type="dxa" w:w="3137"/>
            <w:vAlign w:val="center"/>
            <w:shd w:val="clear" w:color="auto" w:fill="F5EBE7"/>
          </w:tcPr>
          <w:p>
            <w:pPr>
              <w:spacing w:after="0"/>
            </w:pPr>
            <w:r/>
            <w:r>
              <w:rPr>
                <w:sz w:val="20"/>
              </w:rPr>
              <w:t>4</w:t>
            </w:r>
          </w:p>
        </w:tc>
        <w:tc>
          <w:tcPr>
            <w:tcW w:type="dxa" w:w="3137"/>
            <w:vAlign w:val="center"/>
            <w:shd w:val="clear" w:color="auto" w:fill="F5EBE7"/>
          </w:tcPr>
          <w:p>
            <w:pPr>
              <w:spacing w:after="0"/>
            </w:pPr>
            <w:r/>
            <w:r>
              <w:rPr>
                <w:sz w:val="20"/>
              </w:rPr>
              <w:t>b</w:t>
            </w:r>
          </w:p>
        </w:tc>
      </w:tr>
      <w:tr>
        <w:tc>
          <w:tcPr>
            <w:tcW w:type="dxa" w:w="3137"/>
            <w:vAlign w:val="center"/>
          </w:tcPr>
          <w:p>
            <w:pPr>
              <w:spacing w:after="0"/>
            </w:pPr>
            <w:r/>
            <w:r>
              <w:rPr>
                <w:sz w:val="20"/>
              </w:rPr>
              <w:t>3</w:t>
            </w:r>
          </w:p>
        </w:tc>
        <w:tc>
          <w:tcPr>
            <w:tcW w:type="dxa" w:w="3137"/>
            <w:vAlign w:val="center"/>
          </w:tcPr>
          <w:p>
            <w:pPr>
              <w:spacing w:after="0"/>
            </w:pPr>
            <w:r/>
            <w:r>
              <w:rPr>
                <w:sz w:val="20"/>
              </w:rPr>
              <w:t>1</w:t>
            </w:r>
          </w:p>
        </w:tc>
        <w:tc>
          <w:tcPr>
            <w:tcW w:type="dxa" w:w="3137"/>
            <w:vAlign w:val="center"/>
          </w:tcPr>
          <w:p>
            <w:pPr>
              <w:spacing w:after="0"/>
            </w:pPr>
            <w:r/>
            <w:r>
              <w:rPr>
                <w:sz w:val="20"/>
              </w:rPr>
              <w:t>b</w:t>
            </w:r>
          </w:p>
        </w:tc>
      </w:tr>
      <w:tr>
        <w:tc>
          <w:tcPr>
            <w:tcW w:type="dxa" w:w="3137"/>
            <w:vAlign w:val="center"/>
            <w:shd w:val="clear" w:color="auto" w:fill="F5EBE7"/>
          </w:tcPr>
          <w:p>
            <w:pPr>
              <w:spacing w:after="0"/>
            </w:pPr>
            <w:r/>
            <w:r>
              <w:rPr>
                <w:sz w:val="20"/>
              </w:rPr>
              <w:t>3</w:t>
            </w:r>
          </w:p>
        </w:tc>
        <w:tc>
          <w:tcPr>
            <w:tcW w:type="dxa" w:w="3137"/>
            <w:vAlign w:val="center"/>
            <w:shd w:val="clear" w:color="auto" w:fill="F5EBE7"/>
          </w:tcPr>
          <w:p>
            <w:pPr>
              <w:spacing w:after="0"/>
            </w:pPr>
            <w:r/>
            <w:r>
              <w:rPr>
                <w:sz w:val="20"/>
              </w:rPr>
              <w:t>2</w:t>
            </w:r>
          </w:p>
        </w:tc>
        <w:tc>
          <w:tcPr>
            <w:tcW w:type="dxa" w:w="3137"/>
            <w:vAlign w:val="center"/>
            <w:shd w:val="clear" w:color="auto" w:fill="F5EBE7"/>
          </w:tcPr>
          <w:p>
            <w:pPr>
              <w:spacing w:after="0"/>
            </w:pPr>
            <w:r/>
            <w:r>
              <w:rPr>
                <w:sz w:val="20"/>
              </w:rPr>
              <w:t>b</w:t>
            </w:r>
          </w:p>
        </w:tc>
      </w:tr>
      <w:tr>
        <w:tc>
          <w:tcPr>
            <w:tcW w:type="dxa" w:w="3137"/>
            <w:vAlign w:val="center"/>
          </w:tcPr>
          <w:p>
            <w:pPr>
              <w:spacing w:after="0"/>
            </w:pPr>
            <w:r/>
            <w:r>
              <w:rPr>
                <w:sz w:val="20"/>
              </w:rPr>
              <w:t>3</w:t>
            </w:r>
          </w:p>
        </w:tc>
        <w:tc>
          <w:tcPr>
            <w:tcW w:type="dxa" w:w="3137"/>
            <w:vAlign w:val="center"/>
          </w:tcPr>
          <w:p>
            <w:pPr>
              <w:spacing w:after="0"/>
            </w:pPr>
            <w:r/>
            <w:r>
              <w:rPr>
                <w:sz w:val="20"/>
              </w:rPr>
              <w:t>3</w:t>
            </w:r>
          </w:p>
        </w:tc>
        <w:tc>
          <w:tcPr>
            <w:tcW w:type="dxa" w:w="3137"/>
            <w:vAlign w:val="center"/>
          </w:tcPr>
          <w:p>
            <w:pPr>
              <w:spacing w:after="0"/>
            </w:pPr>
            <w:r/>
            <w:r>
              <w:rPr>
                <w:sz w:val="20"/>
              </w:rPr>
              <w:t>b</w:t>
            </w:r>
          </w:p>
        </w:tc>
      </w:tr>
      <w:tr>
        <w:tc>
          <w:tcPr>
            <w:tcW w:type="dxa" w:w="3137"/>
            <w:vAlign w:val="center"/>
            <w:shd w:val="clear" w:color="auto" w:fill="F5EBE7"/>
          </w:tcPr>
          <w:p>
            <w:pPr>
              <w:spacing w:after="0"/>
            </w:pPr>
            <w:r/>
            <w:r>
              <w:rPr>
                <w:sz w:val="20"/>
              </w:rPr>
              <w:t>3</w:t>
            </w:r>
          </w:p>
        </w:tc>
        <w:tc>
          <w:tcPr>
            <w:tcW w:type="dxa" w:w="3137"/>
            <w:vAlign w:val="center"/>
            <w:shd w:val="clear" w:color="auto" w:fill="F5EBE7"/>
          </w:tcPr>
          <w:p>
            <w:pPr>
              <w:spacing w:after="0"/>
            </w:pPr>
            <w:r/>
            <w:r>
              <w:rPr>
                <w:sz w:val="20"/>
              </w:rPr>
              <w:t>4</w:t>
            </w:r>
          </w:p>
        </w:tc>
        <w:tc>
          <w:tcPr>
            <w:tcW w:type="dxa" w:w="3137"/>
            <w:vAlign w:val="center"/>
            <w:shd w:val="clear" w:color="auto" w:fill="F5EBE7"/>
          </w:tcPr>
          <w:p>
            <w:pPr>
              <w:spacing w:after="0"/>
            </w:pPr>
            <w:r/>
            <w:r>
              <w:rPr>
                <w:sz w:val="20"/>
              </w:rPr>
              <w:t>b</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color w:val="6F7581"/>
        <w:sz w:val="17"/>
      </w:rPr>
      <w:t>Nationalism in India</w:t>
    </w:r>
    <w:r>
      <w:rPr>
        <w:color w:val="6F7581"/>
        <w:sz w:val="17"/>
      </w:rPr>
      <w:tab/>
      <w:t>Class 10 · CBSE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Nunito Sans" w:hAnsi="Nunito Sans" w:cs="Nunito Sans" w:eastAsia="Nunito Sans"/>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ageBreakBefore w:val="0"/>
      <w:pBdr>
        <w:top w:val="single" w:sz="18" w:space="10" w:color="172033"/>
      </w:pBdr>
    </w:pPr>
    <w:rPr>
      <w:rFonts w:ascii="Outfit" w:hAnsi="Outfit" w:cs="Outfit" w:eastAsia="Outfit"/>
      <w:b/>
      <w:bCs/>
      <w:i w:val="0"/>
      <w:color w:val="172033"/>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Outfit" w:hAnsi="Outfit" w:cs="Outfit" w:eastAsia="Outfit"/>
      <w:b/>
      <w:bCs/>
      <w:i w:val="0"/>
      <w:color w:val="172033"/>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Outfit" w:hAnsi="Outfit" w:cs="Outfit" w:eastAsia="Outfit"/>
      <w:b/>
      <w:bCs/>
      <w:i w:val="0"/>
      <w:color w:val="172033"/>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Outfit" w:hAnsi="Outfit" w:cs="Outfit" w:eastAsia="Outfit"/>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unito Sans" w:hAnsi="Nunito Sans" w:cs="Nunito Sans" w:eastAsia="Nunito Sans"/>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Outfit" w:hAnsi="Outfit" w:cs="Outfit" w:eastAsia="Outfit"/>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unito Sans" w:hAnsi="Nunito Sans" w:cs="Nunito Sans" w:eastAsia="Nunito Sans"/>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Outfit" w:hAnsi="Outfit" w:cs="Outfit" w:eastAsia="Outfit"/>
      <w:b/>
      <w:sz w:val="24"/>
      <w:szCs w:val="24"/>
    </w:rPr>
  </w:style>
  <w:style w:type="paragraph" w:customStyle="1" w:styleId="TOC2">
    <w:name w:val="TOC 2"/>
    <w:basedOn w:val="Normal"/>
    <w:pPr>
      <w:tabs>
        <w:tab w:pos="9411" w:val="right" w:leader="dot"/>
      </w:tabs>
      <w:spacing w:after="80"/>
      <w:ind w:left="340"/>
    </w:pPr>
    <w:rPr>
      <w:rFonts w:ascii="Nunito Sans" w:hAnsi="Nunito Sans" w:cs="Nunito Sans" w:eastAsia="Nunito Sans"/>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