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Name"/>
      </w:pPr>
      <w:r>
        <w:t>Vikram Anand</w:t>
      </w:r>
    </w:p>
    <w:p>
      <w:pPr>
        <w:pStyle w:val="Role"/>
      </w:pPr>
      <w:r>
        <w:t>Strategy &amp; Operations Leader</w:t>
      </w:r>
    </w:p>
    <w:p>
      <w:pPr>
        <w:pStyle w:val="Contact"/>
      </w:pPr>
      <w:r>
        <w:t>Mumbai, India</w:t>
      </w:r>
      <w:r>
        <w:rPr>
          <w:color w:val="7A1F2B"/>
        </w:rPr>
        <w:t xml:space="preserve">   |   </w:t>
      </w:r>
      <w:r>
        <w:t>+91 98200 99001</w:t>
      </w:r>
      <w:r>
        <w:rPr>
          <w:color w:val="7A1F2B"/>
        </w:rPr>
        <w:t xml:space="preserve">   |   </w:t>
      </w:r>
      <w:r>
        <w:t>vikram.anand@email.com</w:t>
      </w:r>
      <w:r>
        <w:rPr>
          <w:color w:val="7A1F2B"/>
        </w:rPr>
        <w:t xml:space="preserve">   |   </w:t>
      </w:r>
      <w:r>
        <w:t>linkedin.com/in/vikramanand</w:t>
      </w:r>
    </w:p>
    <w:p>
      <w:pPr>
        <w:pStyle w:val="SectionHeading"/>
        <w:pBdr>
          <w:top w:val="single" w:sz="8" w:space="4" w:color="7A1F2B"/>
        </w:pBdr>
      </w:pPr>
      <w:r>
        <w:t>Profile</w:t>
      </w:r>
    </w:p>
    <w:p>
      <w:pPr>
        <w:pStyle w:val="Summary"/>
        <w:ind w:left="1814" w:right="0"/>
      </w:pPr>
      <w:r>
        <w:t>Strategy and operations leader with 15 years across management consulting, consumer goods and logistics. Built and scaled businesses from ₹50 crore to ₹900 crore and led teams of up to 600 people.</w:t>
      </w:r>
    </w:p>
    <w:p>
      <w:pPr>
        <w:pStyle w:val="SectionHeading"/>
        <w:pBdr>
          <w:top w:val="single" w:sz="8" w:space="4" w:color="7A1F2B"/>
        </w:pBdr>
      </w:pPr>
      <w:r>
        <w:t>Professional Experience</w:t>
      </w:r>
    </w:p>
    <w:p>
      <w:pPr>
        <w:pStyle w:val="EntryTitle"/>
        <w:tabs>
          <w:tab w:pos="1814" w:val="left"/>
        </w:tabs>
        <w:ind w:left="1814" w:right="0" w:hanging="1814"/>
      </w:pPr>
      <w:r>
        <w:rPr>
          <w:b w:val="0"/>
          <w:color w:val="555555"/>
          <w:sz w:val="21"/>
          <w:szCs w:val="21"/>
        </w:rPr>
        <w:t>2021 – Present</w:t>
      </w:r>
      <w:r>
        <w:tab/>
      </w:r>
      <w:r>
        <w:t>Chief Operating Officer</w:t>
      </w:r>
    </w:p>
    <w:p>
      <w:pPr>
        <w:pStyle w:val="EntryMeta"/>
        <w:ind w:left="1814" w:right="0"/>
      </w:pPr>
      <w:r>
        <w:t>Tidewater Logistics</w:t>
      </w:r>
    </w:p>
    <w:p>
      <w:pPr>
        <w:pStyle w:val="ResumeBullet"/>
      </w:pPr>
      <w:r>
        <w:t>Run operations for 40 warehouses, 3,000 vehicles and 600 staff; revenue up from ₹420 crore to ₹900 crore.</w:t>
      </w:r>
    </w:p>
    <w:p>
      <w:pPr>
        <w:pStyle w:val="ResumeBullet"/>
      </w:pPr>
      <w:r>
        <w:t>Cut cost per shipment by 17% through network redesign and automation.</w:t>
      </w:r>
    </w:p>
    <w:p>
      <w:pPr>
        <w:pStyle w:val="ResumeBullet"/>
      </w:pPr>
      <w:r>
        <w:t>Lead the board-level transformation programme and quarterly investor reviews.</w:t>
      </w:r>
    </w:p>
    <w:p>
      <w:pPr>
        <w:pStyle w:val="EntryTitle"/>
        <w:tabs>
          <w:tab w:pos="1814" w:val="left"/>
        </w:tabs>
        <w:ind w:left="1814" w:right="0" w:hanging="1814"/>
      </w:pPr>
      <w:r>
        <w:rPr>
          <w:b w:val="0"/>
          <w:color w:val="555555"/>
          <w:sz w:val="21"/>
          <w:szCs w:val="21"/>
        </w:rPr>
        <w:t>2016 – 2021</w:t>
      </w:r>
      <w:r>
        <w:tab/>
      </w:r>
      <w:r>
        <w:t>Vice President, Strategy</w:t>
      </w:r>
    </w:p>
    <w:p>
      <w:pPr>
        <w:pStyle w:val="EntryMeta"/>
        <w:ind w:left="1814" w:right="0"/>
      </w:pPr>
      <w:r>
        <w:t>Saffronleaf Foods</w:t>
      </w:r>
    </w:p>
    <w:p>
      <w:pPr>
        <w:pStyle w:val="ResumeBullet"/>
      </w:pPr>
      <w:r>
        <w:t>Built the D2C channel from zero to ₹120 crore; led 3 acquisitions worth ₹300 crore.</w:t>
      </w:r>
    </w:p>
    <w:p>
      <w:pPr>
        <w:pStyle w:val="ResumeBullet"/>
      </w:pPr>
      <w:r>
        <w:t>Ran annual planning and capital allocation for a ₹2,500 crore business.</w:t>
      </w:r>
    </w:p>
    <w:p>
      <w:pPr>
        <w:pStyle w:val="EntryTitle"/>
        <w:tabs>
          <w:tab w:pos="1814" w:val="left"/>
        </w:tabs>
        <w:ind w:left="1814" w:right="0" w:hanging="1814"/>
      </w:pPr>
      <w:r>
        <w:rPr>
          <w:b w:val="0"/>
          <w:color w:val="555555"/>
          <w:sz w:val="21"/>
          <w:szCs w:val="21"/>
        </w:rPr>
        <w:t>2011 – 2016</w:t>
      </w:r>
      <w:r>
        <w:tab/>
      </w:r>
      <w:r>
        <w:t>Engagement Manager</w:t>
      </w:r>
    </w:p>
    <w:p>
      <w:pPr>
        <w:pStyle w:val="EntryMeta"/>
        <w:ind w:left="1814" w:right="0"/>
      </w:pPr>
      <w:r>
        <w:t>Vantage Point Consulting</w:t>
      </w:r>
    </w:p>
    <w:p>
      <w:pPr>
        <w:pStyle w:val="ResumeBullet"/>
      </w:pPr>
      <w:r>
        <w:t>Led 20+ strategy and operations projects for consumer, retail and logistics clients in India and the Middle East.</w:t>
      </w:r>
    </w:p>
    <w:p>
      <w:pPr>
        <w:pStyle w:val="EntryTitle"/>
        <w:tabs>
          <w:tab w:pos="1814" w:val="left"/>
        </w:tabs>
        <w:ind w:left="1814" w:right="0" w:hanging="1814"/>
      </w:pPr>
      <w:r>
        <w:rPr>
          <w:b w:val="0"/>
          <w:color w:val="555555"/>
          <w:sz w:val="21"/>
          <w:szCs w:val="21"/>
        </w:rPr>
        <w:t>2007 – 2009</w:t>
      </w:r>
      <w:r>
        <w:tab/>
      </w:r>
      <w:r>
        <w:t>Graduate Engineer</w:t>
      </w:r>
    </w:p>
    <w:p>
      <w:pPr>
        <w:pStyle w:val="EntryMeta"/>
        <w:ind w:left="1814" w:right="0"/>
      </w:pPr>
      <w:r>
        <w:t>Kestrel Mobility</w:t>
      </w:r>
    </w:p>
    <w:p>
      <w:pPr>
        <w:pStyle w:val="ResumeBullet"/>
      </w:pPr>
      <w:r>
        <w:t>Production planning for an assembly line of 900 vehicles a day.</w:t>
      </w:r>
    </w:p>
    <w:p>
      <w:pPr>
        <w:pStyle w:val="SectionHeading"/>
        <w:pBdr>
          <w:top w:val="single" w:sz="8" w:space="4" w:color="7A1F2B"/>
        </w:pBdr>
      </w:pPr>
      <w:r>
        <w:t>Education</w:t>
      </w:r>
    </w:p>
    <w:p>
      <w:pPr>
        <w:pStyle w:val="EntryTitle"/>
        <w:tabs>
          <w:tab w:pos="1814" w:val="left"/>
        </w:tabs>
        <w:ind w:left="1814" w:right="0" w:hanging="1814"/>
      </w:pPr>
      <w:r>
        <w:rPr>
          <w:b w:val="0"/>
          <w:color w:val="555555"/>
          <w:sz w:val="21"/>
          <w:szCs w:val="21"/>
        </w:rPr>
        <w:t>2009 – 2011</w:t>
      </w:r>
      <w:r>
        <w:tab/>
      </w:r>
      <w:r>
        <w:t>MBA, Strategy and Finance</w:t>
      </w:r>
    </w:p>
    <w:p>
      <w:pPr>
        <w:pStyle w:val="EntryMeta"/>
        <w:ind w:left="1814" w:right="0"/>
      </w:pPr>
      <w:r>
        <w:t>Bramwell School of Business</w:t>
      </w:r>
    </w:p>
    <w:p>
      <w:pPr>
        <w:pStyle w:val="BodyText"/>
        <w:ind w:left="1814" w:right="0"/>
      </w:pPr>
      <w:r>
        <w:t>Dean's Honour List</w:t>
      </w:r>
    </w:p>
    <w:p>
      <w:pPr>
        <w:pStyle w:val="EntryTitle"/>
        <w:tabs>
          <w:tab w:pos="1814" w:val="left"/>
        </w:tabs>
        <w:ind w:left="1814" w:right="0" w:hanging="1814"/>
      </w:pPr>
      <w:r>
        <w:rPr>
          <w:b w:val="0"/>
          <w:color w:val="555555"/>
          <w:sz w:val="21"/>
          <w:szCs w:val="21"/>
        </w:rPr>
        <w:t>2003 – 2007</w:t>
      </w:r>
      <w:r>
        <w:tab/>
      </w:r>
      <w:r>
        <w:t>B.Tech., Mechanical Engineering</w:t>
      </w:r>
    </w:p>
    <w:p>
      <w:pPr>
        <w:pStyle w:val="EntryMeta"/>
        <w:ind w:left="1814" w:right="0"/>
      </w:pPr>
      <w:r>
        <w:t>Northern Institute of Engineering &amp; Technology</w:t>
      </w:r>
    </w:p>
    <w:p>
      <w:pPr>
        <w:pStyle w:val="SectionHeading"/>
        <w:pBdr>
          <w:top w:val="single" w:sz="8" w:space="4" w:color="7A1F2B"/>
        </w:pBdr>
      </w:pPr>
      <w:r>
        <w:t>Certifications</w:t>
      </w:r>
    </w:p>
    <w:p>
      <w:pPr>
        <w:pStyle w:val="ResumeBullet"/>
      </w:pPr>
      <w:r>
        <w:t>Lean Six Sigma Black Belt</w:t>
      </w:r>
    </w:p>
    <w:p>
      <w:pPr>
        <w:pStyle w:val="ResumeBullet"/>
      </w:pPr>
      <w:r>
        <w:t>Board directorship programme (2022)</w:t>
      </w:r>
    </w:p>
    <w:p>
      <w:pPr>
        <w:pStyle w:val="SectionHeading"/>
        <w:pBdr>
          <w:top w:val="single" w:sz="8" w:space="4" w:color="7A1F2B"/>
        </w:pBdr>
      </w:pPr>
      <w:r>
        <w:t>Awards &amp; Honours</w:t>
      </w:r>
    </w:p>
    <w:p>
      <w:pPr>
        <w:pStyle w:val="ResumeBullet"/>
      </w:pPr>
      <w:r>
        <w:t>CEO Award for Transformation, Tidewater Logistics (2023)</w:t>
      </w:r>
    </w:p>
    <w:p>
      <w:pPr>
        <w:pStyle w:val="ResumeBullet"/>
      </w:pPr>
      <w:r>
        <w:t>Top 40 under 40 in supply chain, industry magazine list (2019)</w:t>
      </w:r>
    </w:p>
    <w:p>
      <w:pPr>
        <w:pStyle w:val="SectionHeading"/>
        <w:pBdr>
          <w:top w:val="single" w:sz="8" w:space="4" w:color="7A1F2B"/>
        </w:pBdr>
      </w:pPr>
      <w:r>
        <w:t>Teaching &amp; Training</w:t>
      </w:r>
    </w:p>
    <w:p>
      <w:pPr>
        <w:pStyle w:val="ResumeBullet"/>
      </w:pPr>
      <w:r>
        <w:t>Guest faculty, Operations Strategy, Sunrise Institute of Management (2019–present)</w:t>
      </w:r>
    </w:p>
    <w:p>
      <w:pPr>
        <w:pStyle w:val="ResumeBullet"/>
      </w:pPr>
      <w:r>
        <w:t>Mentor, startup accelerator programme (2020–present)</w:t>
      </w:r>
    </w:p>
    <w:p>
      <w:pPr>
        <w:pStyle w:val="SectionHeading"/>
        <w:pBdr>
          <w:top w:val="single" w:sz="8" w:space="4" w:color="7A1F2B"/>
        </w:pBdr>
      </w:pPr>
      <w:r>
        <w:t>Committees &amp; Community</w:t>
      </w:r>
    </w:p>
    <w:p>
      <w:pPr>
        <w:pStyle w:val="ResumeBullet"/>
      </w:pPr>
      <w:r>
        <w:t>Board member, Sahyog Foundation (education NGO) (2018–present)</w:t>
      </w:r>
    </w:p>
    <w:p>
      <w:pPr>
        <w:pStyle w:val="ResumeBullet"/>
      </w:pPr>
      <w:r>
        <w:t>Speaker at 12 industry conferences on logistics and growth</w:t>
      </w:r>
    </w:p>
    <w:p>
      <w:pPr>
        <w:pStyle w:val="SectionHeading"/>
        <w:pBdr>
          <w:top w:val="single" w:sz="8" w:space="4" w:color="7A1F2B"/>
        </w:pBdr>
      </w:pPr>
      <w:r>
        <w:t>Talks &amp; Presentations</w:t>
      </w:r>
    </w:p>
    <w:p>
      <w:pPr>
        <w:pStyle w:val="ResumeBullet"/>
      </w:pPr>
      <w:r>
        <w:t>Contributed talk: “Measuring trade costs and regional growth”, Economic Policy Letters, Chennai, 2026.</w:t>
      </w:r>
    </w:p>
    <w:p>
      <w:pPr>
        <w:pStyle w:val="ResumeBullet"/>
      </w:pPr>
      <w:r>
        <w:t>Keynote: “Scaling female labour force participation”, Working Paper Series, Centre for Policy Research, Chennai, 2026.</w:t>
      </w:r>
    </w:p>
    <w:p>
      <w:pPr>
        <w:pStyle w:val="ResumeBullet"/>
      </w:pPr>
      <w:r>
        <w:t>Seminar: “Understanding school meals and attendance”, Working Paper Series, Centre for Policy Research, Singapore, 2025.</w:t>
      </w:r>
    </w:p>
    <w:p>
      <w:pPr>
        <w:pStyle w:val="ResumeBullet"/>
      </w:pPr>
      <w:r>
        <w:t>Invited talk: “Evidence on rural employment guarantees”, Economic Policy Letters, Singapore, 2025.</w:t>
      </w:r>
    </w:p>
    <w:p>
      <w:pPr>
        <w:pStyle w:val="ResumeBullet"/>
      </w:pPr>
      <w:r>
        <w:t>Keynote: “A study of rural employment guarantees”, Economic Policy Letters, Bengaluru, 2024.</w:t>
      </w:r>
    </w:p>
    <w:p>
      <w:pPr>
        <w:pStyle w:val="ResumeBullet"/>
      </w:pPr>
      <w:r>
        <w:t>Contributed talk: “Revisiting microfinance and household resilience”, Annual Conference on Development Economics, Berlin, 2024.</w:t>
      </w:r>
    </w:p>
    <w:p>
      <w:pPr>
        <w:pStyle w:val="ResumeBullet"/>
      </w:pPr>
      <w:r>
        <w:t>Contributed talk: “A study of microfinance and household resilience”, Annual Conference on Development Economics, London, 2023.</w:t>
      </w:r>
    </w:p>
    <w:p>
      <w:pPr>
        <w:pStyle w:val="ResumeBullet"/>
      </w:pPr>
      <w:r>
        <w:t>Keynote: “Understanding monsoon shocks and food prices”, Annual Conference on Development Economics, Pune, 2023.</w:t>
      </w:r>
    </w:p>
    <w:p>
      <w:pPr>
        <w:pStyle w:val="SectionHeading"/>
        <w:pBdr>
          <w:top w:val="single" w:sz="8" w:space="4" w:color="7A1F2B"/>
        </w:pBdr>
      </w:pPr>
      <w:r>
        <w:t>Skills</w:t>
      </w:r>
    </w:p>
    <w:p>
      <w:pPr>
        <w:pStyle w:val="BodyText"/>
        <w:ind w:left="1814" w:right="0"/>
      </w:pPr>
      <w:r>
        <w:rPr>
          <w:b/>
          <w:bCs/>
        </w:rPr>
        <w:t xml:space="preserve">Leadership: </w:t>
      </w:r>
      <w:r>
        <w:t>P&amp;L ownership, M&amp;A integration, transformation, board reporting</w:t>
      </w:r>
    </w:p>
    <w:p>
      <w:pPr>
        <w:pStyle w:val="BodyText"/>
        <w:ind w:left="1814" w:right="0"/>
      </w:pPr>
      <w:r>
        <w:rPr>
          <w:b/>
          <w:bCs/>
        </w:rPr>
        <w:t xml:space="preserve">Functional: </w:t>
      </w:r>
      <w:r>
        <w:t>Network design, pricing, procurement, analytics (SQL, Power BI)</w:t>
      </w:r>
    </w:p>
    <w:p>
      <w:pPr>
        <w:pStyle w:val="BodyText"/>
        <w:ind w:left="1814" w:right="0"/>
      </w:pPr>
      <w:r>
        <w:rPr>
          <w:b/>
          <w:bCs/>
        </w:rPr>
        <w:t xml:space="preserve">Languages: </w:t>
      </w:r>
      <w:r>
        <w:t>English, Hindi, Marathi</w:t>
      </w:r>
    </w:p>
    <w:p>
      <w:pPr>
        <w:pStyle w:val="SectionHeading"/>
        <w:pBdr>
          <w:top w:val="single" w:sz="8" w:space="4" w:color="7A1F2B"/>
        </w:pBdr>
      </w:pPr>
      <w:r>
        <w:t>References</w:t>
      </w:r>
    </w:p>
    <w:p>
      <w:pPr>
        <w:pStyle w:val="BodyText"/>
        <w:ind w:left="1814" w:right="0"/>
      </w:pPr>
      <w:r>
        <w:t>Available on request.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1134" w:bottom="1020" w:left="1134" w:header="510" w:footer="51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 w:eastAsia="Calibri" w:cs="Calibri"/>
        <w:color w:val="888888"/>
        <w:sz w:val="16"/>
        <w:szCs w:val="16"/>
      </w:rPr>
      <w:t xml:space="preserve">Page </w:t>
    </w:r>
    <w:r>
      <w:rPr>
        <w:rFonts w:ascii="Calibri" w:hAnsi="Calibri" w:eastAsia="Calibri" w:cs="Calibri"/>
        <w:color w:val="888888"/>
        <w:sz w:val="16"/>
        <w:szCs w:val="16"/>
      </w:rPr>
      <w:fldChar w:fldCharType="begin"/>
    </w:r>
    <w:r>
      <w:rPr>
        <w:rFonts w:ascii="Calibri" w:hAnsi="Calibri" w:eastAsia="Calibri" w:cs="Calibri"/>
        <w:color w:val="888888"/>
        <w:sz w:val="16"/>
        <w:szCs w:val="16"/>
      </w:rPr>
      <w:instrText xml:space="preserve"> PAGE </w:instrText>
    </w:r>
    <w:r>
      <w:rPr>
        <w:rFonts w:ascii="Calibri" w:hAnsi="Calibri" w:eastAsia="Calibri" w:cs="Calibri"/>
        <w:color w:val="888888"/>
        <w:sz w:val="16"/>
        <w:szCs w:val="16"/>
      </w:rPr>
      <w:fldChar w:fldCharType="separate"/>
    </w:r>
    <w:r>
      <w:rPr>
        <w:rFonts w:ascii="Calibri" w:hAnsi="Calibri" w:eastAsia="Calibri" w:cs="Calibri"/>
        <w:color w:val="888888"/>
        <w:sz w:val="16"/>
        <w:szCs w:val="16"/>
      </w:rPr>
      <w:t>1</w:t>
    </w:r>
    <w:r>
      <w:rPr>
        <w:rFonts w:ascii="Calibri" w:hAnsi="Calibri" w:eastAsia="Calibri" w:cs="Calibri"/>
        <w:color w:val="888888"/>
        <w:sz w:val="16"/>
        <w:szCs w:val="16"/>
      </w:rPr>
      <w:fldChar w:fldCharType="end"/>
    </w:r>
    <w:r>
      <w:rPr>
        <w:rFonts w:ascii="Calibri" w:hAnsi="Calibri" w:eastAsia="Calibri" w:cs="Calibri"/>
        <w:color w:val="888888"/>
        <w:sz w:val="16"/>
        <w:szCs w:val="16"/>
      </w:rPr>
      <w:t xml:space="preserve"> of </w:t>
    </w:r>
    <w:r>
      <w:rPr>
        <w:rFonts w:ascii="Calibri" w:hAnsi="Calibri" w:eastAsia="Calibri" w:cs="Calibri"/>
        <w:color w:val="888888"/>
        <w:sz w:val="16"/>
        <w:szCs w:val="16"/>
      </w:rPr>
      <w:fldChar w:fldCharType="begin"/>
    </w:r>
    <w:r>
      <w:rPr>
        <w:rFonts w:ascii="Calibri" w:hAnsi="Calibri" w:eastAsia="Calibri" w:cs="Calibri"/>
        <w:color w:val="888888"/>
        <w:sz w:val="16"/>
        <w:szCs w:val="16"/>
      </w:rPr>
      <w:instrText xml:space="preserve"> NUMPAGES </w:instrText>
    </w:r>
    <w:r>
      <w:rPr>
        <w:rFonts w:ascii="Calibri" w:hAnsi="Calibri" w:eastAsia="Calibri" w:cs="Calibri"/>
        <w:color w:val="888888"/>
        <w:sz w:val="16"/>
        <w:szCs w:val="16"/>
      </w:rPr>
      <w:fldChar w:fldCharType="separate"/>
    </w:r>
    <w:r>
      <w:rPr>
        <w:rFonts w:ascii="Calibri" w:hAnsi="Calibri" w:eastAsia="Calibri" w:cs="Calibri"/>
        <w:color w:val="888888"/>
        <w:sz w:val="16"/>
        <w:szCs w:val="16"/>
      </w:rPr>
      <w:t>1</w:t>
    </w:r>
    <w:r>
      <w:rPr>
        <w:rFonts w:ascii="Calibri" w:hAnsi="Calibri" w:eastAsia="Calibri" w:cs="Calibri"/>
        <w:color w:val="888888"/>
        <w:sz w:val="16"/>
        <w:szCs w:val="16"/>
      </w:rPr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 w:eastAsia="Calibri" w:cs="Calibri"/>
        <w:color w:val="888888"/>
        <w:sz w:val="16"/>
        <w:szCs w:val="16"/>
      </w:rPr>
      <w:t xml:space="preserve">Page </w:t>
    </w:r>
    <w:r>
      <w:rPr>
        <w:rFonts w:ascii="Calibri" w:hAnsi="Calibri" w:eastAsia="Calibri" w:cs="Calibri"/>
        <w:color w:val="888888"/>
        <w:sz w:val="16"/>
        <w:szCs w:val="16"/>
      </w:rPr>
      <w:fldChar w:fldCharType="begin"/>
    </w:r>
    <w:r>
      <w:rPr>
        <w:rFonts w:ascii="Calibri" w:hAnsi="Calibri" w:eastAsia="Calibri" w:cs="Calibri"/>
        <w:color w:val="888888"/>
        <w:sz w:val="16"/>
        <w:szCs w:val="16"/>
      </w:rPr>
      <w:instrText xml:space="preserve"> PAGE </w:instrText>
    </w:r>
    <w:r>
      <w:rPr>
        <w:rFonts w:ascii="Calibri" w:hAnsi="Calibri" w:eastAsia="Calibri" w:cs="Calibri"/>
        <w:color w:val="888888"/>
        <w:sz w:val="16"/>
        <w:szCs w:val="16"/>
      </w:rPr>
      <w:fldChar w:fldCharType="separate"/>
    </w:r>
    <w:r>
      <w:rPr>
        <w:rFonts w:ascii="Calibri" w:hAnsi="Calibri" w:eastAsia="Calibri" w:cs="Calibri"/>
        <w:color w:val="888888"/>
        <w:sz w:val="16"/>
        <w:szCs w:val="16"/>
      </w:rPr>
      <w:t>1</w:t>
    </w:r>
    <w:r>
      <w:rPr>
        <w:rFonts w:ascii="Calibri" w:hAnsi="Calibri" w:eastAsia="Calibri" w:cs="Calibri"/>
        <w:color w:val="888888"/>
        <w:sz w:val="16"/>
        <w:szCs w:val="16"/>
      </w:rPr>
      <w:fldChar w:fldCharType="end"/>
    </w:r>
    <w:r>
      <w:rPr>
        <w:rFonts w:ascii="Calibri" w:hAnsi="Calibri" w:eastAsia="Calibri" w:cs="Calibri"/>
        <w:color w:val="888888"/>
        <w:sz w:val="16"/>
        <w:szCs w:val="16"/>
      </w:rPr>
      <w:t xml:space="preserve"> of </w:t>
    </w:r>
    <w:r>
      <w:rPr>
        <w:rFonts w:ascii="Calibri" w:hAnsi="Calibri" w:eastAsia="Calibri" w:cs="Calibri"/>
        <w:color w:val="888888"/>
        <w:sz w:val="16"/>
        <w:szCs w:val="16"/>
      </w:rPr>
      <w:fldChar w:fldCharType="begin"/>
    </w:r>
    <w:r>
      <w:rPr>
        <w:rFonts w:ascii="Calibri" w:hAnsi="Calibri" w:eastAsia="Calibri" w:cs="Calibri"/>
        <w:color w:val="888888"/>
        <w:sz w:val="16"/>
        <w:szCs w:val="16"/>
      </w:rPr>
      <w:instrText xml:space="preserve"> NUMPAGES </w:instrText>
    </w:r>
    <w:r>
      <w:rPr>
        <w:rFonts w:ascii="Calibri" w:hAnsi="Calibri" w:eastAsia="Calibri" w:cs="Calibri"/>
        <w:color w:val="888888"/>
        <w:sz w:val="16"/>
        <w:szCs w:val="16"/>
      </w:rPr>
      <w:fldChar w:fldCharType="separate"/>
    </w:r>
    <w:r>
      <w:rPr>
        <w:rFonts w:ascii="Calibri" w:hAnsi="Calibri" w:eastAsia="Calibri" w:cs="Calibri"/>
        <w:color w:val="888888"/>
        <w:sz w:val="16"/>
        <w:szCs w:val="16"/>
      </w:rPr>
      <w:t>1</w:t>
    </w:r>
    <w:r>
      <w:rPr>
        <w:rFonts w:ascii="Calibri" w:hAnsi="Calibri" w:eastAsia="Calibri" w:cs="Calibri"/>
        <w:color w:val="888888"/>
        <w:sz w:val="16"/>
        <w:szCs w:val="16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ontact"/>
      <w:pBdr>
        <w:bottom w:val="single" w:sz="4" w:space="3" w:color="BBBBBB"/>
      </w:pBdr>
      <w:tabs>
        <w:tab w:pos="9638" w:val="right"/>
      </w:tabs>
      <w:jc w:val="left"/>
    </w:pPr>
    <w:r>
      <w:rPr>
        <w:color w:val="777777"/>
        <w:sz w:val="17"/>
        <w:szCs w:val="17"/>
      </w:rPr>
      <w:t>Vikram Anand — Curriculum Vitae</w:t>
    </w:r>
    <w:r>
      <w:tab/>
    </w:r>
    <w:r>
      <w:rPr>
        <w:color w:val="777777"/>
        <w:sz w:val="17"/>
        <w:szCs w:val="17"/>
      </w:rPr>
      <w:t xml:space="preserve">Page </w:t>
    </w:r>
    <w:r>
      <w:rPr>
        <w:color w:val="777777"/>
        <w:sz w:val="17"/>
        <w:szCs w:val="17"/>
      </w:rPr>
      <w:fldChar w:fldCharType="begin"/>
    </w:r>
    <w:r>
      <w:rPr>
        <w:color w:val="777777"/>
        <w:sz w:val="17"/>
        <w:szCs w:val="17"/>
      </w:rPr>
      <w:instrText xml:space="preserve"> PAGE </w:instrText>
    </w:r>
    <w:r>
      <w:rPr>
        <w:color w:val="777777"/>
        <w:sz w:val="17"/>
        <w:szCs w:val="17"/>
      </w:rPr>
      <w:fldChar w:fldCharType="separate"/>
    </w:r>
    <w:r>
      <w:rPr>
        <w:color w:val="777777"/>
        <w:sz w:val="17"/>
        <w:szCs w:val="17"/>
      </w:rPr>
      <w:t>1</w:t>
    </w:r>
    <w:r>
      <w:rPr>
        <w:color w:val="777777"/>
        <w:sz w:val="17"/>
        <w:szCs w:val="17"/>
      </w:rPr>
      <w:fldChar w:fldCharType="end"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•"/>
      <w:lvlJc w:val="left"/>
      <w:pPr>
        <w:ind w:left="2098" w:hanging="227"/>
      </w:pPr>
      <w:rPr>
        <w:rFonts w:ascii="Arial" w:hAnsi="Arial" w:cs="Arial" w:hint="default"/>
        <w:color w:val="7A1F2B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hAnsi="Calibri" w:eastAsia="Calibri" w:cs="Tiro Devanagari Hindi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76" w:lineRule="auto"/>
    </w:pPr>
    <w:rPr>
      <w:rFonts w:ascii="Calibri" w:hAnsi="Calibri" w:eastAsia="Calibri" w:cs="Tiro Devanagari Hindi"/>
      <w:color w:val="111111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40" w:before="0" w:line="276" w:lineRule="auto"/>
    </w:pPr>
    <w:rPr>
      <w:rFonts w:ascii="Calibri" w:hAnsi="Calibri" w:eastAsia="Calibri" w:cs="Tiro Devanagari Hindi"/>
      <w:b w:val="0"/>
      <w:i w:val="0"/>
      <w:caps w:val="0"/>
      <w:smallCaps w:val="0"/>
      <w:color w:val="111111"/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40" w:line="240" w:lineRule="auto"/>
      <w:jc w:val="left"/>
    </w:pPr>
    <w:rPr>
      <w:rFonts w:ascii="Cambria" w:hAnsi="Cambria" w:eastAsia="Cambria" w:cs="Tiro Devanagari Hindi"/>
      <w:b/>
      <w:bCs/>
      <w:i w:val="0"/>
      <w:caps w:val="0"/>
      <w:smallCaps w:val="0"/>
      <w:color w:val="111111"/>
      <w:sz w:val="52"/>
      <w:szCs w:val="52"/>
    </w:rPr>
  </w:style>
  <w:style w:type="paragraph" w:customStyle="1" w:styleId="Role">
    <w:name w:val="Role"/>
    <w:basedOn w:val="Normal"/>
    <w:qFormat/>
    <w:pPr>
      <w:keepNext w:val="0"/>
      <w:widowControl/>
      <w:spacing w:before="0" w:after="40"/>
      <w:jc w:val="left"/>
    </w:pPr>
    <w:rPr>
      <w:rFonts w:ascii="Calibri" w:hAnsi="Calibri" w:eastAsia="Calibri" w:cs="Tiro Devanagari Hindi"/>
      <w:b w:val="0"/>
      <w:i/>
      <w:caps w:val="0"/>
      <w:smallCaps w:val="0"/>
      <w:color w:val="111111"/>
      <w:sz w:val="24"/>
      <w:szCs w:val="24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/>
      <w:jc w:val="left"/>
    </w:pPr>
    <w:rPr>
      <w:rFonts w:ascii="Calibri" w:hAnsi="Calibri" w:eastAsia="Calibri" w:cs="Tiro Devanagari Hindi"/>
      <w:b w:val="0"/>
      <w:i w:val="0"/>
      <w:caps w:val="0"/>
      <w:smallCaps w:val="0"/>
      <w:color w:val="555555"/>
      <w:sz w:val="20"/>
      <w:szCs w:val="20"/>
    </w:rPr>
  </w:style>
  <w:style w:type="paragraph" w:customStyle="1" w:styleId="SectionHeading">
    <w:name w:val="Section Heading"/>
    <w:basedOn w:val="Normal"/>
    <w:qFormat/>
    <w:pPr>
      <w:keepNext/>
      <w:widowControl/>
      <w:spacing w:before="280" w:after="100"/>
    </w:pPr>
    <w:rPr>
      <w:rFonts w:ascii="Cambria" w:hAnsi="Cambria" w:eastAsia="Cambria" w:cs="Tiro Devanagari Hindi"/>
      <w:b/>
      <w:bCs/>
      <w:i w:val="0"/>
      <w:caps w:val="0"/>
      <w:smallCaps w:val="0"/>
      <w:color w:val="7A1F2B"/>
      <w:sz w:val="25"/>
      <w:szCs w:val="25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288" w:lineRule="auto"/>
    </w:pPr>
    <w:rPr>
      <w:rFonts w:ascii="Calibri" w:hAnsi="Calibri" w:eastAsia="Calibri" w:cs="Tiro Devanagari Hindi"/>
      <w:b w:val="0"/>
      <w:i w:val="0"/>
      <w:caps w:val="0"/>
      <w:smallCaps w:val="0"/>
      <w:color w:val="111111"/>
      <w:sz w:val="22"/>
      <w:szCs w:val="22"/>
    </w:rPr>
  </w:style>
  <w:style w:type="paragraph" w:customStyle="1" w:styleId="EntryTitle">
    <w:name w:val="Entry Title"/>
    <w:basedOn w:val="Normal"/>
    <w:qFormat/>
    <w:pPr>
      <w:keepNext/>
      <w:widowControl/>
      <w:spacing w:before="100" w:after="0"/>
    </w:pPr>
    <w:rPr>
      <w:rFonts w:ascii="Calibri" w:hAnsi="Calibri" w:eastAsia="Calibri" w:cs="Tiro Devanagari Hindi"/>
      <w:b/>
      <w:bCs/>
      <w:i w:val="0"/>
      <w:caps w:val="0"/>
      <w:smallCaps w:val="0"/>
      <w:color w:val="111111"/>
      <w:sz w:val="22"/>
      <w:szCs w:val="22"/>
    </w:rPr>
  </w:style>
  <w:style w:type="paragraph" w:customStyle="1" w:styleId="EntryMeta">
    <w:name w:val="Entry Meta"/>
    <w:basedOn w:val="Normal"/>
    <w:qFormat/>
    <w:pPr>
      <w:keepNext/>
      <w:widowControl/>
      <w:spacing w:before="0" w:after="20"/>
    </w:pPr>
    <w:rPr>
      <w:rFonts w:ascii="Calibri" w:hAnsi="Calibri" w:eastAsia="Calibri" w:cs="Tiro Devanagari Hindi"/>
      <w:b w:val="0"/>
      <w:i/>
      <w:caps w:val="0"/>
      <w:smallCaps w:val="0"/>
      <w:color w:val="444444"/>
      <w:sz w:val="22"/>
      <w:szCs w:val="22"/>
    </w:rPr>
  </w:style>
  <w:style w:type="paragraph" w:customStyle="1" w:styleId="Citation">
    <w:name w:val="Citation"/>
    <w:basedOn w:val="Normal"/>
    <w:qFormat/>
    <w:pPr>
      <w:keepNext w:val="0"/>
      <w:widowControl/>
      <w:spacing w:before="0" w:after="60" w:line="276" w:lineRule="auto"/>
      <w:ind w:left="2268" w:hanging="454"/>
    </w:pPr>
    <w:rPr>
      <w:rFonts w:ascii="Calibri" w:hAnsi="Calibri" w:eastAsia="Calibri" w:cs="Tiro Devanagari Hindi"/>
      <w:b w:val="0"/>
      <w:i w:val="0"/>
      <w:caps w:val="0"/>
      <w:smallCaps w:val="0"/>
      <w:color w:val="111111"/>
      <w:sz w:val="21"/>
      <w:szCs w:val="21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20" w:line="276" w:lineRule="auto"/>
      <w:ind w:left="2098" w:hanging="227"/>
    </w:pPr>
    <w:rPr>
      <w:rFonts w:ascii="Calibri" w:hAnsi="Calibri" w:eastAsia="Calibri" w:cs="Tiro Devanagari Hindi"/>
      <w:b w:val="0"/>
      <w:i w:val="0"/>
      <w:caps w:val="0"/>
      <w:smallCaps w:val="0"/>
      <w:color w:val="111111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 Gutter — MBA Operations Leader — CV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