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ame"/>
      </w:pPr>
      <w:r>
        <w:t>Smt. Ananya Krishnan, IAS</w:t>
      </w:r>
    </w:p>
    <w:p>
      <w:pPr>
        <w:pStyle w:val="Role"/>
      </w:pPr>
      <w:r>
        <w:t>Joint Secretary to the Government · Indian Administrative Service (2008 batch)</w:t>
      </w:r>
    </w:p>
    <w:p>
      <w:pPr>
        <w:pStyle w:val="Contact"/>
        <w:pBdr>
          <w:bottom w:val="single" w:sz="6" w:space="6" w:color="14213D"/>
        </w:pBdr>
      </w:pPr>
      <w:r>
        <w:t>New Delhi, India</w:t>
      </w:r>
      <w:r>
        <w:rPr>
          <w:color w:val="14213D"/>
        </w:rPr>
        <w:t xml:space="preserve">   |   </w:t>
      </w:r>
      <w:r>
        <w:t>+91 11 2300 XXXX</w:t>
      </w:r>
      <w:r>
        <w:rPr>
          <w:color w:val="14213D"/>
        </w:rPr>
        <w:t xml:space="preserve">   |   </w:t>
      </w:r>
      <w:r>
        <w:t>ananya.krishnan@gov.example</w:t>
      </w:r>
    </w:p>
    <w:p>
      <w:pPr>
        <w:pStyle w:val="SectionHeading"/>
        <w:shd w:val="clear" w:color="auto" w:fill="E8ECF3"/>
        <w:ind w:left="85"/>
      </w:pPr>
      <w:r>
        <w:t>Profile</w:t>
      </w:r>
    </w:p>
    <w:p>
      <w:pPr>
        <w:pStyle w:val="Summary"/>
      </w:pPr>
      <w:r>
        <w:t>Civil servant with 17 years in district administration, state finance and central ministries. Led programmes on rural livelihoods, digital public services and disaster management, and represented India in two multilateral working groups.</w:t>
      </w:r>
    </w:p>
    <w:p>
      <w:pPr>
        <w:pStyle w:val="SectionHeading"/>
        <w:shd w:val="clear" w:color="auto" w:fill="E8ECF3"/>
        <w:ind w:left="85"/>
      </w:pPr>
      <w:r>
        <w:t>Personal Details</w:t>
      </w:r>
    </w:p>
    <w:p>
      <w:pPr>
        <w:pStyle w:val="BodyText"/>
        <w:tabs>
          <w:tab w:pos="2835" w:val="left"/>
        </w:tabs>
        <w:ind w:left="2835" w:right="0" w:hanging="2835"/>
      </w:pPr>
      <w:r>
        <w:rPr>
          <w:b/>
          <w:bCs/>
        </w:rPr>
        <w:t>Date of birth</w:t>
      </w:r>
      <w:r>
        <w:tab/>
      </w:r>
      <w:r>
        <w:t>:  04 March 1982</w:t>
      </w:r>
    </w:p>
    <w:p>
      <w:pPr>
        <w:pStyle w:val="BodyText"/>
        <w:tabs>
          <w:tab w:pos="2835" w:val="left"/>
        </w:tabs>
        <w:ind w:left="2835" w:right="0" w:hanging="2835"/>
      </w:pPr>
      <w:r>
        <w:rPr>
          <w:b/>
          <w:bCs/>
        </w:rPr>
        <w:t>Service / Batch / Cadre</w:t>
      </w:r>
      <w:r>
        <w:tab/>
      </w:r>
      <w:r>
        <w:t>:  IAS, 2008, Karnataka</w:t>
      </w:r>
    </w:p>
    <w:p>
      <w:pPr>
        <w:pStyle w:val="BodyText"/>
        <w:tabs>
          <w:tab w:pos="2835" w:val="left"/>
        </w:tabs>
        <w:ind w:left="2835" w:right="0" w:hanging="2835"/>
      </w:pPr>
      <w:r>
        <w:rPr>
          <w:b/>
          <w:bCs/>
        </w:rPr>
        <w:t>Present posting</w:t>
      </w:r>
      <w:r>
        <w:tab/>
      </w:r>
      <w:r>
        <w:t>:  Joint Secretary, Ministry of Rural Livelihoods, New Delhi</w:t>
      </w:r>
    </w:p>
    <w:p>
      <w:pPr>
        <w:pStyle w:val="BodyText"/>
        <w:tabs>
          <w:tab w:pos="2835" w:val="left"/>
        </w:tabs>
        <w:ind w:left="2835" w:right="0" w:hanging="2835"/>
      </w:pPr>
      <w:r>
        <w:rPr>
          <w:b/>
          <w:bCs/>
        </w:rPr>
        <w:t>Home state</w:t>
      </w:r>
      <w:r>
        <w:tab/>
      </w:r>
      <w:r>
        <w:t>:  Kerala</w:t>
      </w:r>
    </w:p>
    <w:p>
      <w:pPr>
        <w:pStyle w:val="BodyText"/>
        <w:tabs>
          <w:tab w:pos="2835" w:val="left"/>
        </w:tabs>
        <w:ind w:left="2835" w:right="0" w:hanging="2835"/>
      </w:pPr>
      <w:r>
        <w:rPr>
          <w:b/>
          <w:bCs/>
        </w:rPr>
        <w:t>Languages known</w:t>
      </w:r>
      <w:r>
        <w:tab/>
      </w:r>
      <w:r>
        <w:t>:  English, Hindi, Malayalam, Kannada, Tamil</w:t>
      </w:r>
    </w:p>
    <w:p>
      <w:pPr>
        <w:pStyle w:val="SectionHeading"/>
        <w:shd w:val="clear" w:color="auto" w:fill="E8ECF3"/>
        <w:ind w:left="85"/>
      </w:pPr>
      <w:r>
        <w:t>Service Record</w:t>
      </w:r>
    </w:p>
    <w:p>
      <w:pPr>
        <w:pStyle w:val="EntryTitle"/>
        <w:tabs>
          <w:tab w:pos="9638" w:val="right"/>
        </w:tabs>
      </w:pPr>
      <w:r>
        <w:t>Joint Secretary</w:t>
      </w:r>
      <w:r>
        <w:tab/>
      </w:r>
      <w:r>
        <w:rPr>
          <w:b w:val="0"/>
          <w:i w:val="0"/>
          <w:color w:val="555555"/>
        </w:rPr>
        <w:t>2022 – Present</w:t>
      </w:r>
    </w:p>
    <w:p>
      <w:pPr>
        <w:pStyle w:val="EntryMeta"/>
      </w:pPr>
      <w:r>
        <w:t>Ministry of Rural Livelihoods, Government of India</w:t>
      </w:r>
    </w:p>
    <w:p>
      <w:pPr>
        <w:pStyle w:val="ResumeBullet"/>
      </w:pPr>
      <w:r>
        <w:t>Lead the national rural livelihoods mission covering 9 crore women in self-help groups; annual budget ₹15,000 crore.</w:t>
      </w:r>
    </w:p>
    <w:p>
      <w:pPr>
        <w:pStyle w:val="ResumeBullet"/>
      </w:pPr>
      <w:r>
        <w:t>Launched a digital bookkeeping app now used by 4 lakh groups.</w:t>
      </w:r>
    </w:p>
    <w:p>
      <w:pPr>
        <w:pStyle w:val="EntryTitle"/>
        <w:tabs>
          <w:tab w:pos="9638" w:val="right"/>
        </w:tabs>
      </w:pPr>
      <w:r>
        <w:t>Secretary, Finance (Expenditure)</w:t>
      </w:r>
      <w:r>
        <w:tab/>
      </w:r>
      <w:r>
        <w:rPr>
          <w:b w:val="0"/>
          <w:i w:val="0"/>
          <w:color w:val="555555"/>
        </w:rPr>
        <w:t>2019 – 2022</w:t>
      </w:r>
    </w:p>
    <w:p>
      <w:pPr>
        <w:pStyle w:val="EntryMeta"/>
      </w:pPr>
      <w:r>
        <w:t>Government of Karnataka</w:t>
      </w:r>
    </w:p>
    <w:p>
      <w:pPr>
        <w:pStyle w:val="ResumeBullet"/>
      </w:pPr>
      <w:r>
        <w:t>Managed expenditure control for a ₹2.6 lakh crore state budget; introduced outcome budgeting in 12 departments.</w:t>
      </w:r>
    </w:p>
    <w:p>
      <w:pPr>
        <w:pStyle w:val="EntryTitle"/>
        <w:tabs>
          <w:tab w:pos="9638" w:val="right"/>
        </w:tabs>
      </w:pPr>
      <w:r>
        <w:t>Director, e-Governance</w:t>
      </w:r>
      <w:r>
        <w:tab/>
      </w:r>
      <w:r>
        <w:rPr>
          <w:b w:val="0"/>
          <w:i w:val="0"/>
          <w:color w:val="555555"/>
        </w:rPr>
        <w:t>2016 – 2019</w:t>
      </w:r>
    </w:p>
    <w:p>
      <w:pPr>
        <w:pStyle w:val="EntryMeta"/>
      </w:pPr>
      <w:r>
        <w:t>Department of Personnel &amp; AR, Karnataka</w:t>
      </w:r>
    </w:p>
    <w:p>
      <w:pPr>
        <w:pStyle w:val="ResumeBullet"/>
      </w:pPr>
      <w:r>
        <w:t>Took 700 citizen services online with a single sign-on portal; 2.1 crore applications a year.</w:t>
      </w:r>
    </w:p>
    <w:p>
      <w:pPr>
        <w:pStyle w:val="EntryTitle"/>
        <w:tabs>
          <w:tab w:pos="9638" w:val="right"/>
        </w:tabs>
      </w:pPr>
      <w:r>
        <w:t>Deputy Commissioner &amp; District Magistrate</w:t>
      </w:r>
      <w:r>
        <w:tab/>
      </w:r>
      <w:r>
        <w:rPr>
          <w:b w:val="0"/>
          <w:i w:val="0"/>
          <w:color w:val="555555"/>
        </w:rPr>
        <w:t>2011 – 2015</w:t>
      </w:r>
    </w:p>
    <w:p>
      <w:pPr>
        <w:pStyle w:val="EntryMeta"/>
      </w:pPr>
      <w:r>
        <w:t>Districts of Kodagu and Raichur</w:t>
      </w:r>
    </w:p>
    <w:p>
      <w:pPr>
        <w:pStyle w:val="ResumeBullet"/>
      </w:pPr>
      <w:r>
        <w:t>Led flood response and rehabilitation for 40,000 families in 2013.</w:t>
      </w:r>
    </w:p>
    <w:p>
      <w:pPr>
        <w:pStyle w:val="ResumeBullet"/>
      </w:pPr>
      <w:r>
        <w:t>District won the national award for excellence in public administration (2014).</w:t>
      </w:r>
    </w:p>
    <w:p>
      <w:pPr>
        <w:pStyle w:val="EntryTitle"/>
        <w:tabs>
          <w:tab w:pos="9638" w:val="right"/>
        </w:tabs>
      </w:pPr>
      <w:r>
        <w:t>Assistant Commissioner (Probation)</w:t>
      </w:r>
      <w:r>
        <w:tab/>
      </w:r>
      <w:r>
        <w:rPr>
          <w:b w:val="0"/>
          <w:i w:val="0"/>
          <w:color w:val="555555"/>
        </w:rPr>
        <w:t>2009 – 2011</w:t>
      </w:r>
    </w:p>
    <w:p>
      <w:pPr>
        <w:pStyle w:val="EntryMeta"/>
      </w:pPr>
      <w:r>
        <w:t>Sub-division of Udupi</w:t>
      </w:r>
    </w:p>
    <w:p>
      <w:pPr>
        <w:pStyle w:val="ResumeBullet"/>
      </w:pPr>
      <w:r>
        <w:t>Revenue administration, land records digitisation and elections.</w:t>
      </w:r>
    </w:p>
    <w:p>
      <w:pPr>
        <w:pStyle w:val="SectionHeading"/>
        <w:shd w:val="clear" w:color="auto" w:fill="E8ECF3"/>
        <w:ind w:left="85"/>
      </w:pPr>
      <w:r>
        <w:t>Education</w:t>
      </w:r>
    </w:p>
    <w:p>
      <w:pPr>
        <w:pStyle w:val="EntryTitle"/>
        <w:tabs>
          <w:tab w:pos="9638" w:val="right"/>
        </w:tabs>
      </w:pPr>
      <w:r>
        <w:t>M.A., Public Policy</w:t>
      </w:r>
      <w:r>
        <w:tab/>
      </w:r>
      <w:r>
        <w:rPr>
          <w:b w:val="0"/>
          <w:i w:val="0"/>
          <w:color w:val="555555"/>
        </w:rPr>
        <w:t>2015 – 2016</w:t>
      </w:r>
    </w:p>
    <w:p>
      <w:pPr>
        <w:pStyle w:val="EntryMeta"/>
      </w:pPr>
      <w:r>
        <w:t>Graduate School of Governance (abroad, on study leave)</w:t>
      </w:r>
    </w:p>
    <w:p>
      <w:pPr>
        <w:pStyle w:val="BodyText"/>
      </w:pPr>
      <w:r>
        <w:t>Fellowship for mid-career officers</w:t>
      </w:r>
    </w:p>
    <w:p>
      <w:pPr>
        <w:pStyle w:val="EntryTitle"/>
        <w:tabs>
          <w:tab w:pos="9638" w:val="right"/>
        </w:tabs>
      </w:pPr>
      <w:r>
        <w:t>M.A., Economics</w:t>
      </w:r>
      <w:r>
        <w:tab/>
      </w:r>
      <w:r>
        <w:rPr>
          <w:b w:val="0"/>
          <w:i w:val="0"/>
          <w:color w:val="555555"/>
        </w:rPr>
        <w:t>2003 – 2005</w:t>
      </w:r>
    </w:p>
    <w:p>
      <w:pPr>
        <w:pStyle w:val="EntryMeta"/>
      </w:pPr>
      <w:r>
        <w:t>Coromandel University</w:t>
      </w:r>
    </w:p>
    <w:p>
      <w:pPr>
        <w:pStyle w:val="BodyText"/>
      </w:pPr>
      <w:r>
        <w:t>First Class, university rank 2</w:t>
      </w:r>
    </w:p>
    <w:p>
      <w:pPr>
        <w:pStyle w:val="EntryTitle"/>
        <w:tabs>
          <w:tab w:pos="9638" w:val="right"/>
        </w:tabs>
      </w:pPr>
      <w:r>
        <w:t>B.A. (Hons.), Economics</w:t>
      </w:r>
      <w:r>
        <w:tab/>
      </w:r>
      <w:r>
        <w:rPr>
          <w:b w:val="0"/>
          <w:i w:val="0"/>
          <w:color w:val="555555"/>
        </w:rPr>
        <w:t>2000 – 2003</w:t>
      </w:r>
    </w:p>
    <w:p>
      <w:pPr>
        <w:pStyle w:val="EntryMeta"/>
      </w:pPr>
      <w:r>
        <w:t>St. Clement's College, Coromandel University</w:t>
      </w:r>
    </w:p>
    <w:p>
      <w:pPr>
        <w:pStyle w:val="BodyText"/>
      </w:pPr>
      <w:r>
        <w:t>First Class</w:t>
      </w:r>
    </w:p>
    <w:p>
      <w:pPr>
        <w:pStyle w:val="SectionHeading"/>
        <w:shd w:val="clear" w:color="auto" w:fill="E8ECF3"/>
        <w:ind w:left="85"/>
      </w:pPr>
      <w:r>
        <w:t>Trainings Attended</w:t>
      </w:r>
    </w:p>
    <w:p>
      <w:pPr>
        <w:pStyle w:val="ResumeBullet"/>
      </w:pPr>
      <w:r>
        <w:t>Mid-Career Training Programme Phase IV, national civil services academy (2016)</w:t>
      </w:r>
    </w:p>
    <w:p>
      <w:pPr>
        <w:pStyle w:val="ResumeBullet"/>
      </w:pPr>
      <w:r>
        <w:t>Leadership for public sector executives, overseas school of government (2018, 3 weeks)</w:t>
      </w:r>
    </w:p>
    <w:p>
      <w:pPr>
        <w:pStyle w:val="ResumeBullet"/>
      </w:pPr>
      <w:r>
        <w:t>Disaster risk management, regional centre for disaster reduction (2014)</w:t>
      </w:r>
    </w:p>
    <w:p>
      <w:pPr>
        <w:pStyle w:val="ResumeBullet"/>
      </w:pPr>
      <w:r>
        <w:t>Foundation and professional training, national civil services academy (2008–2009)</w:t>
      </w:r>
    </w:p>
    <w:p>
      <w:pPr>
        <w:pStyle w:val="SectionHeading"/>
        <w:shd w:val="clear" w:color="auto" w:fill="E8ECF3"/>
        <w:ind w:left="85"/>
      </w:pPr>
      <w:r>
        <w:t>Awards &amp; Honours</w:t>
      </w:r>
    </w:p>
    <w:p>
      <w:pPr>
        <w:pStyle w:val="ResumeBullet"/>
      </w:pPr>
      <w:r>
        <w:t>Prime Minister's Award for Excellence in Public Administration — district category (2014)</w:t>
      </w:r>
    </w:p>
    <w:p>
      <w:pPr>
        <w:pStyle w:val="ResumeBullet"/>
      </w:pPr>
      <w:r>
        <w:t>State Gold Medal for e-Governance (2018)</w:t>
      </w:r>
    </w:p>
    <w:p>
      <w:pPr>
        <w:pStyle w:val="SectionHeading"/>
        <w:shd w:val="clear" w:color="auto" w:fill="E8ECF3"/>
        <w:ind w:left="85"/>
      </w:pPr>
      <w:r>
        <w:t>Articles &amp; Papers</w:t>
      </w:r>
    </w:p>
    <w:p>
      <w:pPr>
        <w:pStyle w:val="Citation"/>
      </w:pPr>
      <w:r/>
      <w:r>
        <w:rPr>
          <w:b/>
          <w:bCs/>
        </w:rPr>
        <w:t>Krishnan, A.</w:t>
      </w:r>
      <w:r>
        <w:t>, Rao, S., &amp; Fischer, A.</w:t>
      </w:r>
      <w:r>
        <w:t xml:space="preserve"> (2026). Revisiting grievance redressal reform. </w:t>
      </w:r>
      <w:r>
        <w:rPr>
          <w:i/>
        </w:rPr>
        <w:t>Journal of Rural Development Policy</w:t>
      </w:r>
      <w:r>
        <w:t>, 38(3), 822–842.</w:t>
      </w:r>
    </w:p>
    <w:p>
      <w:pPr>
        <w:pStyle w:val="Citation"/>
      </w:pPr>
      <w:r>
        <w:t xml:space="preserve">Mensah, K., &amp; </w:t>
      </w:r>
      <w:r>
        <w:rPr>
          <w:b/>
          <w:bCs/>
        </w:rPr>
        <w:t>Krishnan, A.</w:t>
      </w:r>
      <w:r/>
      <w:r>
        <w:t xml:space="preserve"> (2026). Designing for disaster preparedness in flood districts. </w:t>
      </w:r>
      <w:r>
        <w:rPr>
          <w:i/>
        </w:rPr>
        <w:t>Proceedings of the National Conference on Governance</w:t>
      </w:r>
      <w:r>
        <w:t>, pp. 160–174.</w:t>
      </w:r>
    </w:p>
    <w:p>
      <w:pPr>
        <w:pStyle w:val="Citation"/>
      </w:pPr>
      <w:r/>
      <w:r>
        <w:rPr>
          <w:b/>
          <w:bCs/>
        </w:rPr>
        <w:t>Krishnan, A.</w:t>
      </w:r>
      <w:r>
        <w:t>, Haddad, N., &amp; Gupta, R.</w:t>
      </w:r>
      <w:r>
        <w:t xml:space="preserve"> (2026). Evidence on district-level data dashboards. </w:t>
      </w:r>
      <w:r>
        <w:rPr>
          <w:i/>
        </w:rPr>
        <w:t>Journal of Rural Development Policy</w:t>
      </w:r>
      <w:r>
        <w:t>, 15(1), 658–675.</w:t>
      </w:r>
    </w:p>
    <w:p>
      <w:pPr>
        <w:pStyle w:val="Citation"/>
      </w:pPr>
      <w:r>
        <w:t xml:space="preserve">Okafor, D., &amp; </w:t>
      </w:r>
      <w:r>
        <w:rPr>
          <w:b/>
          <w:bCs/>
        </w:rPr>
        <w:t>Krishnan, A.</w:t>
      </w:r>
      <w:r/>
      <w:r>
        <w:t xml:space="preserve"> (2025). Towards citizen service delivery. </w:t>
      </w:r>
      <w:r>
        <w:rPr>
          <w:i/>
        </w:rPr>
        <w:t>Proceedings of the National Conference on Governance</w:t>
      </w:r>
      <w:r>
        <w:t>, pp. 494–506.</w:t>
      </w:r>
    </w:p>
    <w:p>
      <w:pPr>
        <w:pStyle w:val="Citation"/>
      </w:pPr>
      <w:r/>
      <w:r>
        <w:rPr>
          <w:b/>
          <w:bCs/>
        </w:rPr>
        <w:t>Krishnan, A.</w:t>
      </w:r>
      <w:r>
        <w:t>, &amp; Menon, V.</w:t>
      </w:r>
      <w:r>
        <w:t xml:space="preserve"> (2025). Revisiting direct benefit transfers in agriculture. </w:t>
      </w:r>
      <w:r>
        <w:rPr>
          <w:i/>
        </w:rPr>
        <w:t>Public Policy Review Quarterly</w:t>
      </w:r>
      <w:r>
        <w:t>, 29(2), 748–769.</w:t>
      </w:r>
    </w:p>
    <w:p>
      <w:pPr>
        <w:pStyle w:val="SectionHeading"/>
        <w:shd w:val="clear" w:color="auto" w:fill="E8ECF3"/>
        <w:ind w:left="85"/>
      </w:pPr>
      <w:r>
        <w:t>Talks &amp; Presentations</w:t>
      </w:r>
    </w:p>
    <w:p>
      <w:pPr>
        <w:pStyle w:val="ResumeBullet"/>
      </w:pPr>
      <w:r>
        <w:t>Keynote: “Women’s collectives as rural enterprises”, National Conference on Rural Livelihoods, New Delhi, 2025.</w:t>
      </w:r>
    </w:p>
    <w:p>
      <w:pPr>
        <w:pStyle w:val="ResumeBullet"/>
      </w:pPr>
      <w:r>
        <w:t>Panel: “Digital public infrastructure for districts”, Governance Innovation Summit, Bengaluru, 2024.</w:t>
      </w:r>
    </w:p>
    <w:p>
      <w:pPr>
        <w:pStyle w:val="ResumeBullet"/>
      </w:pPr>
      <w:r>
        <w:t>Lecture: “Lessons from a flood district”, State Disaster Management Authority, 2023.</w:t>
      </w:r>
    </w:p>
    <w:p>
      <w:pPr>
        <w:pStyle w:val="ResumeBullet"/>
      </w:pPr>
      <w:r>
        <w:t>Paper: “Outcome budgeting in practice”, National Conference on Governance, Hyderabad, 2021.</w:t>
      </w:r>
    </w:p>
    <w:p>
      <w:pPr>
        <w:pStyle w:val="ResumeBullet"/>
      </w:pPr>
      <w:r>
        <w:t>Address to officer trainees on district administration, national civil services academy, 2019.</w:t>
      </w:r>
    </w:p>
    <w:p>
      <w:pPr>
        <w:pStyle w:val="SectionHeading"/>
        <w:shd w:val="clear" w:color="auto" w:fill="E8ECF3"/>
        <w:ind w:left="85"/>
      </w:pPr>
      <w:r>
        <w:t>Teaching &amp; Training</w:t>
      </w:r>
    </w:p>
    <w:p>
      <w:pPr>
        <w:pStyle w:val="ResumeBullet"/>
      </w:pPr>
      <w:r>
        <w:t>Guest faculty at the national civil services academy on district administration (2017–present)</w:t>
      </w:r>
    </w:p>
    <w:p>
      <w:pPr>
        <w:pStyle w:val="ResumeBullet"/>
      </w:pPr>
      <w:r>
        <w:t>Resource person, state administrative training institute (2016–2022)</w:t>
      </w:r>
    </w:p>
    <w:p>
      <w:pPr>
        <w:pStyle w:val="SectionHeading"/>
        <w:shd w:val="clear" w:color="auto" w:fill="E8ECF3"/>
        <w:ind w:left="85"/>
      </w:pPr>
      <w:r>
        <w:t>International &amp; Committee Work</w:t>
      </w:r>
    </w:p>
    <w:p>
      <w:pPr>
        <w:pStyle w:val="ResumeBullet"/>
      </w:pPr>
      <w:r>
        <w:t>Member, multilateral working group on financial inclusion (2023–present)</w:t>
      </w:r>
    </w:p>
    <w:p>
      <w:pPr>
        <w:pStyle w:val="ResumeBullet"/>
      </w:pPr>
      <w:r>
        <w:t>Indian delegation, international forum on disaster risk reduction (2015)</w:t>
      </w:r>
    </w:p>
    <w:p>
      <w:pPr>
        <w:pStyle w:val="SectionHeading"/>
        <w:shd w:val="clear" w:color="auto" w:fill="E8ECF3"/>
        <w:ind w:left="85"/>
      </w:pPr>
      <w:r>
        <w:t>Skills</w:t>
      </w:r>
    </w:p>
    <w:p>
      <w:pPr>
        <w:pStyle w:val="BodyText"/>
      </w:pPr>
      <w:r>
        <w:rPr>
          <w:b/>
          <w:bCs/>
        </w:rPr>
        <w:t xml:space="preserve">Domain: </w:t>
      </w:r>
      <w:r>
        <w:t>Public finance, rural development, e-governance, disaster management</w:t>
      </w:r>
    </w:p>
    <w:p>
      <w:pPr>
        <w:pStyle w:val="BodyText"/>
      </w:pPr>
      <w:r>
        <w:rPr>
          <w:b/>
          <w:bCs/>
        </w:rPr>
        <w:t xml:space="preserve">Tools: </w:t>
      </w:r>
      <w:r>
        <w:t>e-Office, PFMS, data dashboards, MS Office</w:t>
      </w:r>
    </w:p>
    <w:p>
      <w:pPr>
        <w:pStyle w:val="BodyText"/>
      </w:pPr>
      <w:r>
        <w:rPr>
          <w:b/>
          <w:bCs/>
        </w:rPr>
        <w:t xml:space="preserve">Languages: </w:t>
      </w:r>
      <w:r>
        <w:t>English, Hindi, Malayalam, Kannada, Tamil</w:t>
      </w:r>
    </w:p>
    <w:p>
      <w:pPr>
        <w:pStyle w:val="SectionHeading"/>
        <w:shd w:val="clear" w:color="auto" w:fill="E8ECF3"/>
        <w:ind w:left="85"/>
      </w:pPr>
      <w:r>
        <w:t>Declaration</w:t>
      </w:r>
    </w:p>
    <w:p>
      <w:pPr>
        <w:pStyle w:val="BodyText"/>
      </w:pPr>
      <w:r>
        <w:t>I hereby declare that the information given above is true and correct to the best of my knowledge and belief.</w:t>
      </w:r>
    </w:p>
    <w:p>
      <w:pPr>
        <w:pStyle w:val="BodyText"/>
        <w:keepNext/>
        <w:tabs>
          <w:tab w:pos="9638" w:val="right"/>
        </w:tabs>
        <w:spacing w:before="360"/>
      </w:pPr>
      <w:r>
        <w:t>Place: New Delhi</w:t>
      </w:r>
      <w:r>
        <w:tab/>
      </w:r>
      <w:r>
        <w:t>(Signature)</w:t>
      </w:r>
    </w:p>
    <w:p>
      <w:pPr>
        <w:pStyle w:val="BodyText"/>
        <w:tabs>
          <w:tab w:pos="9638" w:val="right"/>
        </w:tabs>
      </w:pPr>
      <w:r>
        <w:t>Date: ____________</w:t>
      </w:r>
      <w:r>
        <w:tab/>
      </w:r>
      <w:r>
        <w:rPr>
          <w:b/>
          <w:bCs/>
        </w:rPr>
        <w:t>Smt. Ananya Krishnan, IAS</w:t>
      </w:r>
    </w:p>
    <w:sectPr w:rsidR="00FC693F" w:rsidRPr="0006063C" w:rsidSect="00034616">
      <w:headerReference w:type="default" r:id="rId9"/>
      <w:footerReference w:type="default" r:id="rId10"/>
      <w:footerReference w:type="first" r:id="rId11"/>
      <w:pgSz w:w="11906" w:h="16838"/>
      <w:pgMar w:top="1134" w:right="1134" w:bottom="1020"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Open Sans" w:hAnsi="Open Sans" w:eastAsia="Open Sans" w:cs="Open Sans"/>
        <w:color w:val="888888"/>
        <w:sz w:val="16"/>
        <w:szCs w:val="16"/>
      </w:rPr>
      <w:t xml:space="preserve">Page </w:t>
    </w:r>
    <w:r>
      <w:rPr>
        <w:rFonts w:ascii="Open Sans" w:hAnsi="Open Sans" w:eastAsia="Open Sans" w:cs="Open Sans"/>
        <w:color w:val="888888"/>
        <w:sz w:val="16"/>
        <w:szCs w:val="16"/>
      </w:rPr>
      <w:fldChar w:fldCharType="begin"/>
    </w:r>
    <w:r>
      <w:rPr>
        <w:rFonts w:ascii="Open Sans" w:hAnsi="Open Sans" w:eastAsia="Open Sans" w:cs="Open Sans"/>
        <w:color w:val="888888"/>
        <w:sz w:val="16"/>
        <w:szCs w:val="16"/>
      </w:rPr>
      <w:instrText xml:space="preserve"> PAGE </w:instrText>
    </w:r>
    <w:r>
      <w:rPr>
        <w:rFonts w:ascii="Open Sans" w:hAnsi="Open Sans" w:eastAsia="Open Sans" w:cs="Open Sans"/>
        <w:color w:val="888888"/>
        <w:sz w:val="16"/>
        <w:szCs w:val="16"/>
      </w:rPr>
      <w:fldChar w:fldCharType="separate"/>
    </w:r>
    <w:r>
      <w:rPr>
        <w:rFonts w:ascii="Open Sans" w:hAnsi="Open Sans" w:eastAsia="Open Sans" w:cs="Open Sans"/>
        <w:color w:val="888888"/>
        <w:sz w:val="16"/>
        <w:szCs w:val="16"/>
      </w:rPr>
      <w:t>1</w:t>
    </w:r>
    <w:r>
      <w:rPr>
        <w:rFonts w:ascii="Open Sans" w:hAnsi="Open Sans" w:eastAsia="Open Sans" w:cs="Open Sans"/>
        <w:color w:val="888888"/>
        <w:sz w:val="16"/>
        <w:szCs w:val="16"/>
      </w:rPr>
      <w:fldChar w:fldCharType="end"/>
    </w:r>
    <w:r>
      <w:rPr>
        <w:rFonts w:ascii="Open Sans" w:hAnsi="Open Sans" w:eastAsia="Open Sans" w:cs="Open Sans"/>
        <w:color w:val="888888"/>
        <w:sz w:val="16"/>
        <w:szCs w:val="16"/>
      </w:rPr>
      <w:t xml:space="preserve"> of </w:t>
    </w:r>
    <w:r>
      <w:rPr>
        <w:rFonts w:ascii="Open Sans" w:hAnsi="Open Sans" w:eastAsia="Open Sans" w:cs="Open Sans"/>
        <w:color w:val="888888"/>
        <w:sz w:val="16"/>
        <w:szCs w:val="16"/>
      </w:rPr>
      <w:fldChar w:fldCharType="begin"/>
    </w:r>
    <w:r>
      <w:rPr>
        <w:rFonts w:ascii="Open Sans" w:hAnsi="Open Sans" w:eastAsia="Open Sans" w:cs="Open Sans"/>
        <w:color w:val="888888"/>
        <w:sz w:val="16"/>
        <w:szCs w:val="16"/>
      </w:rPr>
      <w:instrText xml:space="preserve"> NUMPAGES </w:instrText>
    </w:r>
    <w:r>
      <w:rPr>
        <w:rFonts w:ascii="Open Sans" w:hAnsi="Open Sans" w:eastAsia="Open Sans" w:cs="Open Sans"/>
        <w:color w:val="888888"/>
        <w:sz w:val="16"/>
        <w:szCs w:val="16"/>
      </w:rPr>
      <w:fldChar w:fldCharType="separate"/>
    </w:r>
    <w:r>
      <w:rPr>
        <w:rFonts w:ascii="Open Sans" w:hAnsi="Open Sans" w:eastAsia="Open Sans" w:cs="Open Sans"/>
        <w:color w:val="888888"/>
        <w:sz w:val="16"/>
        <w:szCs w:val="16"/>
      </w:rPr>
      <w:t>1</w:t>
    </w:r>
    <w:r>
      <w:rPr>
        <w:rFonts w:ascii="Open Sans" w:hAnsi="Open Sans" w:eastAsia="Open Sans" w:cs="Open Sans"/>
        <w:color w:val="888888"/>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Open Sans" w:hAnsi="Open Sans" w:eastAsia="Open Sans" w:cs="Open Sans"/>
        <w:color w:val="888888"/>
        <w:sz w:val="16"/>
        <w:szCs w:val="16"/>
      </w:rPr>
      <w:t xml:space="preserve">Page </w:t>
    </w:r>
    <w:r>
      <w:rPr>
        <w:rFonts w:ascii="Open Sans" w:hAnsi="Open Sans" w:eastAsia="Open Sans" w:cs="Open Sans"/>
        <w:color w:val="888888"/>
        <w:sz w:val="16"/>
        <w:szCs w:val="16"/>
      </w:rPr>
      <w:fldChar w:fldCharType="begin"/>
    </w:r>
    <w:r>
      <w:rPr>
        <w:rFonts w:ascii="Open Sans" w:hAnsi="Open Sans" w:eastAsia="Open Sans" w:cs="Open Sans"/>
        <w:color w:val="888888"/>
        <w:sz w:val="16"/>
        <w:szCs w:val="16"/>
      </w:rPr>
      <w:instrText xml:space="preserve"> PAGE </w:instrText>
    </w:r>
    <w:r>
      <w:rPr>
        <w:rFonts w:ascii="Open Sans" w:hAnsi="Open Sans" w:eastAsia="Open Sans" w:cs="Open Sans"/>
        <w:color w:val="888888"/>
        <w:sz w:val="16"/>
        <w:szCs w:val="16"/>
      </w:rPr>
      <w:fldChar w:fldCharType="separate"/>
    </w:r>
    <w:r>
      <w:rPr>
        <w:rFonts w:ascii="Open Sans" w:hAnsi="Open Sans" w:eastAsia="Open Sans" w:cs="Open Sans"/>
        <w:color w:val="888888"/>
        <w:sz w:val="16"/>
        <w:szCs w:val="16"/>
      </w:rPr>
      <w:t>1</w:t>
    </w:r>
    <w:r>
      <w:rPr>
        <w:rFonts w:ascii="Open Sans" w:hAnsi="Open Sans" w:eastAsia="Open Sans" w:cs="Open Sans"/>
        <w:color w:val="888888"/>
        <w:sz w:val="16"/>
        <w:szCs w:val="16"/>
      </w:rPr>
      <w:fldChar w:fldCharType="end"/>
    </w:r>
    <w:r>
      <w:rPr>
        <w:rFonts w:ascii="Open Sans" w:hAnsi="Open Sans" w:eastAsia="Open Sans" w:cs="Open Sans"/>
        <w:color w:val="888888"/>
        <w:sz w:val="16"/>
        <w:szCs w:val="16"/>
      </w:rPr>
      <w:t xml:space="preserve"> of </w:t>
    </w:r>
    <w:r>
      <w:rPr>
        <w:rFonts w:ascii="Open Sans" w:hAnsi="Open Sans" w:eastAsia="Open Sans" w:cs="Open Sans"/>
        <w:color w:val="888888"/>
        <w:sz w:val="16"/>
        <w:szCs w:val="16"/>
      </w:rPr>
      <w:fldChar w:fldCharType="begin"/>
    </w:r>
    <w:r>
      <w:rPr>
        <w:rFonts w:ascii="Open Sans" w:hAnsi="Open Sans" w:eastAsia="Open Sans" w:cs="Open Sans"/>
        <w:color w:val="888888"/>
        <w:sz w:val="16"/>
        <w:szCs w:val="16"/>
      </w:rPr>
      <w:instrText xml:space="preserve"> NUMPAGES </w:instrText>
    </w:r>
    <w:r>
      <w:rPr>
        <w:rFonts w:ascii="Open Sans" w:hAnsi="Open Sans" w:eastAsia="Open Sans" w:cs="Open Sans"/>
        <w:color w:val="888888"/>
        <w:sz w:val="16"/>
        <w:szCs w:val="16"/>
      </w:rPr>
      <w:fldChar w:fldCharType="separate"/>
    </w:r>
    <w:r>
      <w:rPr>
        <w:rFonts w:ascii="Open Sans" w:hAnsi="Open Sans" w:eastAsia="Open Sans" w:cs="Open Sans"/>
        <w:color w:val="888888"/>
        <w:sz w:val="16"/>
        <w:szCs w:val="16"/>
      </w:rPr>
      <w:t>1</w:t>
    </w:r>
    <w:r>
      <w:rPr>
        <w:rFonts w:ascii="Open Sans" w:hAnsi="Open Sans" w:eastAsia="Open Sans" w:cs="Open Sans"/>
        <w:color w:val="888888"/>
        <w:sz w:val="16"/>
        <w:szCs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ontact"/>
      <w:pBdr>
        <w:bottom w:val="single" w:sz="4" w:space="3" w:color="BBBBBB"/>
      </w:pBdr>
      <w:tabs>
        <w:tab w:pos="9638" w:val="right"/>
      </w:tabs>
      <w:jc w:val="left"/>
    </w:pPr>
    <w:r>
      <w:rPr>
        <w:color w:val="777777"/>
        <w:sz w:val="17"/>
        <w:szCs w:val="17"/>
      </w:rPr>
      <w:t>Smt. Ananya Krishnan, IAS — Curriculum Vitae</w:t>
    </w:r>
    <w:r>
      <w:tab/>
    </w:r>
    <w:r>
      <w:rPr>
        <w:color w:val="777777"/>
        <w:sz w:val="17"/>
        <w:szCs w:val="17"/>
      </w:rPr>
      <w:t xml:space="preserve">Page </w:t>
    </w:r>
    <w:r>
      <w:rPr>
        <w:color w:val="777777"/>
        <w:sz w:val="17"/>
        <w:szCs w:val="17"/>
      </w:rPr>
      <w:fldChar w:fldCharType="begin"/>
    </w:r>
    <w:r>
      <w:rPr>
        <w:color w:val="777777"/>
        <w:sz w:val="17"/>
        <w:szCs w:val="17"/>
      </w:rPr>
      <w:instrText xml:space="preserve"> PAGE </w:instrText>
    </w:r>
    <w:r>
      <w:rPr>
        <w:color w:val="777777"/>
        <w:sz w:val="17"/>
        <w:szCs w:val="17"/>
      </w:rPr>
      <w:fldChar w:fldCharType="separate"/>
    </w:r>
    <w:r>
      <w:rPr>
        <w:color w:val="777777"/>
        <w:sz w:val="17"/>
        <w:szCs w:val="17"/>
      </w:rPr>
      <w:t>1</w:t>
    </w:r>
    <w:r>
      <w:rPr>
        <w:color w:val="777777"/>
        <w:sz w:val="17"/>
        <w:szCs w:val="17"/>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0">
    <w:multiLevelType w:val="singleLevel"/>
    <w:lvl w:ilvl="0">
      <w:start w:val="1"/>
      <w:numFmt w:val="bullet"/>
      <w:pStyle w:val="ResumeBullet"/>
      <w:lvlText w:val="•"/>
      <w:lvlJc w:val="left"/>
      <w:pPr>
        <w:ind w:left="283" w:hanging="227"/>
      </w:pPr>
      <w:rPr>
        <w:rFonts w:ascii="Arial" w:hAnsi="Arial" w:cs="Arial" w:hint="default"/>
        <w:color w:val="14213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
    <w:abstractNumId w:val="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pen Sans" w:hAnsi="Open Sans" w:eastAsia="Open Sans" w:cs="Mukta"/>
        <w:sz w:val="22"/>
        <w:szCs w:val="22"/>
        <w:lang w:val="en-US" w:eastAsia="en-US" w:bidi="ar-SA"/>
      </w:rPr>
    </w:rPrDefault>
    <w:pPrDefault>
      <w:pPr>
        <w:spacing w:after="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76" w:lineRule="auto"/>
    </w:pPr>
    <w:rPr>
      <w:rFonts w:ascii="Open Sans" w:hAnsi="Open Sans" w:eastAsia="Open Sans" w:cs="Mukta"/>
      <w:color w:val="22262B"/>
      <w:sz w:val="20"/>
      <w:szCs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qFormat/>
    <w:rsid w:val="00AA1D8D"/>
    <w:pPr>
      <w:keepNext w:val="0"/>
      <w:widowControl/>
      <w:spacing w:after="40" w:before="0" w:line="276" w:lineRule="auto"/>
    </w:pPr>
    <w:rPr>
      <w:rFonts w:ascii="Open Sans" w:hAnsi="Open Sans" w:eastAsia="Open Sans" w:cs="Mukta"/>
      <w:b w:val="0"/>
      <w:i w:val="0"/>
      <w:caps w:val="0"/>
      <w:smallCaps w:val="0"/>
      <w:color w:val="22262B"/>
      <w:sz w:val="20"/>
      <w:szCs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me">
    <w:name w:val="Name"/>
    <w:basedOn w:val="Normal"/>
    <w:qFormat/>
    <w:pPr>
      <w:keepNext w:val="0"/>
      <w:widowControl/>
      <w:spacing w:before="0" w:after="40" w:line="240" w:lineRule="auto"/>
      <w:jc w:val="center"/>
    </w:pPr>
    <w:rPr>
      <w:rFonts w:ascii="Merriweather" w:hAnsi="Merriweather" w:eastAsia="Merriweather" w:cs="Mukta"/>
      <w:b/>
      <w:bCs/>
      <w:i w:val="0"/>
      <w:caps w:val="0"/>
      <w:smallCaps w:val="0"/>
      <w:color w:val="14213D"/>
      <w:sz w:val="48"/>
      <w:szCs w:val="48"/>
    </w:rPr>
  </w:style>
  <w:style w:type="paragraph" w:customStyle="1" w:styleId="Role">
    <w:name w:val="Role"/>
    <w:basedOn w:val="Normal"/>
    <w:qFormat/>
    <w:pPr>
      <w:keepNext w:val="0"/>
      <w:widowControl/>
      <w:spacing w:before="0" w:after="40"/>
      <w:jc w:val="center"/>
    </w:pPr>
    <w:rPr>
      <w:rFonts w:ascii="Open Sans" w:hAnsi="Open Sans" w:eastAsia="Open Sans" w:cs="Mukta"/>
      <w:b w:val="0"/>
      <w:i w:val="0"/>
      <w:caps w:val="0"/>
      <w:smallCaps w:val="0"/>
      <w:color w:val="22262B"/>
      <w:sz w:val="22"/>
      <w:szCs w:val="22"/>
    </w:rPr>
  </w:style>
  <w:style w:type="paragraph" w:customStyle="1" w:styleId="Contact">
    <w:name w:val="Contact"/>
    <w:basedOn w:val="Normal"/>
    <w:qFormat/>
    <w:pPr>
      <w:keepNext w:val="0"/>
      <w:widowControl/>
      <w:spacing w:before="0" w:after="0"/>
      <w:jc w:val="center"/>
    </w:pPr>
    <w:rPr>
      <w:rFonts w:ascii="Open Sans" w:hAnsi="Open Sans" w:eastAsia="Open Sans" w:cs="Mukta"/>
      <w:b w:val="0"/>
      <w:i w:val="0"/>
      <w:caps w:val="0"/>
      <w:smallCaps w:val="0"/>
      <w:color w:val="555555"/>
      <w:sz w:val="18"/>
      <w:szCs w:val="18"/>
    </w:rPr>
  </w:style>
  <w:style w:type="paragraph" w:customStyle="1" w:styleId="SectionHeading">
    <w:name w:val="Section Heading"/>
    <w:basedOn w:val="Normal"/>
    <w:qFormat/>
    <w:pPr>
      <w:keepNext/>
      <w:widowControl/>
      <w:spacing w:before="280" w:after="100"/>
    </w:pPr>
    <w:rPr>
      <w:rFonts w:ascii="Merriweather" w:hAnsi="Merriweather" w:eastAsia="Merriweather" w:cs="Mukta"/>
      <w:b/>
      <w:bCs/>
      <w:i w:val="0"/>
      <w:caps/>
      <w:smallCaps w:val="0"/>
      <w:color w:val="14213D"/>
      <w:spacing w:val="24"/>
      <w:sz w:val="23"/>
      <w:szCs w:val="23"/>
    </w:rPr>
  </w:style>
  <w:style w:type="paragraph" w:customStyle="1" w:styleId="Summary">
    <w:name w:val="Summary"/>
    <w:basedOn w:val="Normal"/>
    <w:qFormat/>
    <w:pPr>
      <w:keepNext w:val="0"/>
      <w:widowControl/>
      <w:spacing w:before="0" w:after="0" w:line="288" w:lineRule="auto"/>
    </w:pPr>
    <w:rPr>
      <w:rFonts w:ascii="Open Sans" w:hAnsi="Open Sans" w:eastAsia="Open Sans" w:cs="Mukta"/>
      <w:b w:val="0"/>
      <w:i w:val="0"/>
      <w:caps w:val="0"/>
      <w:smallCaps w:val="0"/>
      <w:color w:val="22262B"/>
      <w:sz w:val="20"/>
      <w:szCs w:val="20"/>
    </w:rPr>
  </w:style>
  <w:style w:type="paragraph" w:customStyle="1" w:styleId="EntryTitle">
    <w:name w:val="Entry Title"/>
    <w:basedOn w:val="Normal"/>
    <w:qFormat/>
    <w:pPr>
      <w:keepNext/>
      <w:widowControl/>
      <w:spacing w:before="100" w:after="0"/>
    </w:pPr>
    <w:rPr>
      <w:rFonts w:ascii="Open Sans" w:hAnsi="Open Sans" w:eastAsia="Open Sans" w:cs="Mukta"/>
      <w:b/>
      <w:bCs/>
      <w:i w:val="0"/>
      <w:caps w:val="0"/>
      <w:smallCaps w:val="0"/>
      <w:color w:val="22262B"/>
      <w:sz w:val="20"/>
      <w:szCs w:val="20"/>
    </w:rPr>
  </w:style>
  <w:style w:type="paragraph" w:customStyle="1" w:styleId="EntryMeta">
    <w:name w:val="Entry Meta"/>
    <w:basedOn w:val="Normal"/>
    <w:qFormat/>
    <w:pPr>
      <w:keepNext/>
      <w:widowControl/>
      <w:spacing w:before="0" w:after="20"/>
    </w:pPr>
    <w:rPr>
      <w:rFonts w:ascii="Open Sans" w:hAnsi="Open Sans" w:eastAsia="Open Sans" w:cs="Mukta"/>
      <w:b w:val="0"/>
      <w:i/>
      <w:caps w:val="0"/>
      <w:smallCaps w:val="0"/>
      <w:color w:val="444444"/>
      <w:sz w:val="20"/>
      <w:szCs w:val="20"/>
    </w:rPr>
  </w:style>
  <w:style w:type="paragraph" w:customStyle="1" w:styleId="Citation">
    <w:name w:val="Citation"/>
    <w:basedOn w:val="Normal"/>
    <w:qFormat/>
    <w:pPr>
      <w:keepNext w:val="0"/>
      <w:widowControl/>
      <w:spacing w:before="0" w:after="60" w:line="276" w:lineRule="auto"/>
      <w:ind w:left="454" w:hanging="454"/>
    </w:pPr>
    <w:rPr>
      <w:rFonts w:ascii="Open Sans" w:hAnsi="Open Sans" w:eastAsia="Open Sans" w:cs="Mukta"/>
      <w:b w:val="0"/>
      <w:i w:val="0"/>
      <w:caps w:val="0"/>
      <w:smallCaps w:val="0"/>
      <w:color w:val="22262B"/>
      <w:sz w:val="19"/>
      <w:szCs w:val="19"/>
    </w:rPr>
  </w:style>
  <w:style w:type="paragraph" w:customStyle="1" w:styleId="ResumeBullet">
    <w:name w:val="Resume Bullet"/>
    <w:basedOn w:val="Normal"/>
    <w:qFormat/>
    <w:pPr>
      <w:keepNext w:val="0"/>
      <w:widowControl/>
      <w:numPr>
        <w:numId w:val="100"/>
      </w:numPr>
      <w:spacing w:before="0" w:after="20" w:line="276" w:lineRule="auto"/>
      <w:ind w:left="283" w:hanging="227"/>
    </w:pPr>
    <w:rPr>
      <w:rFonts w:ascii="Open Sans" w:hAnsi="Open Sans" w:eastAsia="Open Sans" w:cs="Mukta"/>
      <w:b w:val="0"/>
      <w:i w:val="0"/>
      <w:caps w:val="0"/>
      <w:smallCaps w:val="0"/>
      <w:color w:val="22262B"/>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Band — IAS Officer CV — CV template</dc:title>
  <dc:subject/>
  <dc:creator>Morphiq</dc:creator>
  <cp:keywords>resume, CV, template</cp:keywords>
  <dc:description>Editable resume template from Morphiq. Replace the placeholder text with your own.</dc:description>
  <cp:lastModifiedBy/>
  <cp:revision>1</cp:revision>
  <dcterms:created xsi:type="dcterms:W3CDTF">2013-12-23T23:15:00Z</dcterms:created>
  <dcterms:modified xsi:type="dcterms:W3CDTF">2013-12-23T23:15:00Z</dcterms:modified>
  <cp:category/>
</cp:coreProperties>
</file>