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top w:val="single" w:sz="48" w:space="14" w:color="0B6E4F"/>
        </w:pBdr>
        <w:spacing w:before="0"/>
      </w:pPr>
      <w:r>
        <w:t>Dr. Kavita Rao</w:t>
      </w:r>
    </w:p>
    <w:p>
      <w:pPr>
        <w:pStyle w:val="Role"/>
      </w:pPr>
      <w:r>
        <w:t>Postdoctoral Research Fellow, Cell Biology</w:t>
      </w:r>
    </w:p>
    <w:p>
      <w:pPr>
        <w:pStyle w:val="Contact"/>
        <w:pBdr>
          <w:bottom w:val="single" w:sz="4" w:space="6" w:color="BBBBBB"/>
        </w:pBdr>
      </w:pPr>
      <w:r>
        <w:t>Hyderabad, India</w:t>
      </w:r>
      <w:r>
        <w:rPr>
          <w:color w:val="0B6E4F"/>
        </w:rPr>
        <w:t xml:space="preserve">   |   </w:t>
      </w:r>
      <w:r>
        <w:t>+91 99000 22334</w:t>
      </w:r>
      <w:r>
        <w:rPr>
          <w:color w:val="0B6E4F"/>
        </w:rPr>
        <w:t xml:space="preserve">   |   </w:t>
      </w:r>
      <w:r>
        <w:t>kavita.rao@institute.edu</w:t>
      </w:r>
      <w:r>
        <w:rPr>
          <w:color w:val="0B6E4F"/>
        </w:rPr>
        <w:t xml:space="preserve">   |   </w:t>
      </w:r>
      <w:r>
        <w:t>kavitarao.science</w:t>
      </w:r>
    </w:p>
    <w:p>
      <w:pPr>
        <w:pStyle w:val="SectionHeading"/>
      </w:pPr>
      <w:r>
        <w:t>01   Profile</w:t>
      </w:r>
    </w:p>
    <w:p>
      <w:pPr>
        <w:pStyle w:val="Summary"/>
      </w:pPr>
      <w:r>
        <w:t>Cell biologist studying how immune cells sense and respond to stress. Eight years of bench research spanning imaging, single-cell genomics and CRISPR screens, with a record of mentoring students.</w:t>
      </w:r>
    </w:p>
    <w:p>
      <w:pPr>
        <w:pStyle w:val="SectionHeading"/>
      </w:pPr>
      <w:r>
        <w:t>02   Education</w:t>
      </w:r>
    </w:p>
    <w:p>
      <w:pPr>
        <w:pStyle w:val="EntryTitle"/>
      </w:pPr>
      <w:r>
        <w:t>Ph.D., Molecular Biology</w:t>
      </w:r>
      <w:r>
        <w:rPr>
          <w:b w:val="0"/>
          <w:i/>
          <w:color w:val="0B6E4F"/>
          <w:sz w:val="19"/>
          <w:szCs w:val="19"/>
        </w:rPr>
        <w:t xml:space="preserve">  ·  2016 – 2022</w:t>
      </w:r>
    </w:p>
    <w:p>
      <w:pPr>
        <w:pStyle w:val="EntryMeta"/>
      </w:pPr>
      <w:r>
        <w:t>National Centre for Cell Science Research</w:t>
      </w:r>
    </w:p>
    <w:p>
      <w:pPr>
        <w:pStyle w:val="BodyText"/>
      </w:pPr>
      <w:r>
        <w:t>Thesis: Calcium signalling in activated T cells</w:t>
      </w:r>
    </w:p>
    <w:p>
      <w:pPr>
        <w:pStyle w:val="EntryTitle"/>
      </w:pPr>
      <w:r>
        <w:t>M.Sc., Biotechnology</w:t>
      </w:r>
      <w:r>
        <w:rPr>
          <w:b w:val="0"/>
          <w:i/>
          <w:color w:val="0B6E4F"/>
          <w:sz w:val="19"/>
          <w:szCs w:val="19"/>
        </w:rPr>
        <w:t xml:space="preserve">  ·  2014 – 2016</w:t>
      </w:r>
    </w:p>
    <w:p>
      <w:pPr>
        <w:pStyle w:val="EntryMeta"/>
      </w:pPr>
      <w:r>
        <w:t>Deccan Valley University</w:t>
      </w:r>
    </w:p>
    <w:p>
      <w:pPr>
        <w:pStyle w:val="BodyText"/>
      </w:pPr>
      <w:r>
        <w:t>University Gold Medal</w:t>
      </w:r>
    </w:p>
    <w:p>
      <w:pPr>
        <w:pStyle w:val="EntryTitle"/>
      </w:pPr>
      <w:r>
        <w:t>B.Sc., Life Sciences</w:t>
      </w:r>
      <w:r>
        <w:rPr>
          <w:b w:val="0"/>
          <w:i/>
          <w:color w:val="0B6E4F"/>
          <w:sz w:val="19"/>
          <w:szCs w:val="19"/>
        </w:rPr>
        <w:t xml:space="preserve">  ·  2011 – 2014</w:t>
      </w:r>
    </w:p>
    <w:p>
      <w:pPr>
        <w:pStyle w:val="EntryMeta"/>
      </w:pPr>
      <w:r>
        <w:t>St. Aldwin's College</w:t>
      </w:r>
    </w:p>
    <w:p>
      <w:pPr>
        <w:pStyle w:val="SectionHeading"/>
      </w:pPr>
      <w:r>
        <w:t>03   Research Experience</w:t>
      </w:r>
    </w:p>
    <w:p>
      <w:pPr>
        <w:pStyle w:val="EntryTitle"/>
      </w:pPr>
      <w:r>
        <w:t>Postdoctoral Fellow</w:t>
      </w:r>
      <w:r>
        <w:rPr>
          <w:b w:val="0"/>
          <w:i/>
          <w:color w:val="0B6E4F"/>
          <w:sz w:val="19"/>
          <w:szCs w:val="19"/>
        </w:rPr>
        <w:t xml:space="preserve">  ·  2022 – Present</w:t>
      </w:r>
    </w:p>
    <w:p>
      <w:pPr>
        <w:pStyle w:val="EntryMeta"/>
      </w:pPr>
      <w:r>
        <w:t>Riverstone Institute for Immunology</w:t>
      </w:r>
    </w:p>
    <w:p>
      <w:pPr>
        <w:pStyle w:val="ResumeBullet"/>
      </w:pPr>
      <w:r>
        <w:t>Lead a CRISPR screen across 4,000 genes identifying 12 regulators of T-cell exhaustion.</w:t>
      </w:r>
    </w:p>
    <w:p>
      <w:pPr>
        <w:pStyle w:val="ResumeBullet"/>
      </w:pPr>
      <w:r>
        <w:t>Manage two technicians and mentor three Ph.D. students.</w:t>
      </w:r>
    </w:p>
    <w:p>
      <w:pPr>
        <w:pStyle w:val="EntryTitle"/>
      </w:pPr>
      <w:r>
        <w:t>Doctoral Researcher</w:t>
      </w:r>
      <w:r>
        <w:rPr>
          <w:b w:val="0"/>
          <w:i/>
          <w:color w:val="0B6E4F"/>
          <w:sz w:val="19"/>
          <w:szCs w:val="19"/>
        </w:rPr>
        <w:t xml:space="preserve">  ·  2016 – 2022</w:t>
      </w:r>
    </w:p>
    <w:p>
      <w:pPr>
        <w:pStyle w:val="EntryMeta"/>
      </w:pPr>
      <w:r>
        <w:t>National Centre for Cell Science Research</w:t>
      </w:r>
    </w:p>
    <w:p>
      <w:pPr>
        <w:pStyle w:val="ResumeBullet"/>
      </w:pPr>
      <w:r>
        <w:t>Developed a live-imaging assay for calcium flux adopted by three partner labs.</w:t>
      </w:r>
    </w:p>
    <w:p>
      <w:pPr>
        <w:pStyle w:val="EntryTitle"/>
      </w:pPr>
      <w:r>
        <w:t>Visiting Researcher</w:t>
      </w:r>
      <w:r>
        <w:rPr>
          <w:b w:val="0"/>
          <w:i/>
          <w:color w:val="0B6E4F"/>
          <w:sz w:val="19"/>
          <w:szCs w:val="19"/>
        </w:rPr>
        <w:t xml:space="preserve">  ·  Jan 2020 – Jun 2020</w:t>
      </w:r>
    </w:p>
    <w:p>
      <w:pPr>
        <w:pStyle w:val="EntryMeta"/>
      </w:pPr>
      <w:r>
        <w:t>Kestrel Genomics Centre, Singapore</w:t>
      </w:r>
    </w:p>
    <w:p>
      <w:pPr>
        <w:pStyle w:val="ResumeBullet"/>
      </w:pPr>
      <w:r>
        <w:t>Generated single-cell RNA-seq data for 60,000 immune cells.</w:t>
      </w:r>
    </w:p>
    <w:p>
      <w:pPr>
        <w:pStyle w:val="SectionHeading"/>
      </w:pPr>
      <w:r>
        <w:t>04   Publications</w:t>
      </w:r>
    </w:p>
    <w:p>
      <w:pPr>
        <w:pStyle w:val="Citation"/>
      </w:pPr>
      <w:r>
        <w:t xml:space="preserve">Iyer, M., </w:t>
      </w:r>
      <w:r>
        <w:rPr>
          <w:b/>
          <w:bCs/>
        </w:rPr>
        <w:t>Rao, K.</w:t>
      </w:r>
      <w:r>
        <w:t>, Okafor, D., &amp; Fischer, A.</w:t>
      </w:r>
      <w:r>
        <w:t xml:space="preserve"> (2026). Revisiting microbiome shifts after antibiotics. </w:t>
      </w:r>
      <w:r>
        <w:rPr>
          <w:i/>
        </w:rPr>
        <w:t>Molecular Systems Reports</w:t>
      </w:r>
      <w:r>
        <w:t>, 11(9), 212–232.</w:t>
      </w:r>
    </w:p>
    <w:p>
      <w:pPr>
        <w:pStyle w:val="Citation"/>
      </w:pPr>
      <w:r/>
      <w:r>
        <w:rPr>
          <w:b/>
          <w:bCs/>
        </w:rPr>
        <w:t>Rao, K.</w:t>
      </w:r>
      <w:r>
        <w:t>, &amp; Menon, V.</w:t>
      </w:r>
      <w:r>
        <w:t xml:space="preserve"> (2026). Measuring circadian control of metabolism. </w:t>
      </w:r>
      <w:r>
        <w:rPr>
          <w:i/>
        </w:rPr>
        <w:t>Journal of Cellular Signalling</w:t>
      </w:r>
      <w:r>
        <w:t>, 26(8), 426–435.</w:t>
      </w:r>
    </w:p>
    <w:p>
      <w:pPr>
        <w:pStyle w:val="Citation"/>
      </w:pPr>
      <w:r>
        <w:t xml:space="preserve">Chen, L., </w:t>
      </w:r>
      <w:r>
        <w:rPr>
          <w:b/>
          <w:bCs/>
        </w:rPr>
        <w:t>Rao, K.</w:t>
      </w:r>
      <w:r>
        <w:t>, &amp; Okafor, D.</w:t>
      </w:r>
      <w:r>
        <w:t xml:space="preserve"> (2026). Scaling single-cell atlases of the liver. </w:t>
      </w:r>
      <w:r>
        <w:rPr>
          <w:i/>
        </w:rPr>
        <w:t>Annual Meeting of the Society for Cell Biology</w:t>
      </w:r>
      <w:r>
        <w:t>, pp. 375–384.</w:t>
      </w:r>
    </w:p>
    <w:p>
      <w:pPr>
        <w:pStyle w:val="Citation"/>
      </w:pPr>
      <w:r>
        <w:t xml:space="preserve">Gupta, R., </w:t>
      </w:r>
      <w:r>
        <w:rPr>
          <w:b/>
          <w:bCs/>
        </w:rPr>
        <w:t>Rao, K.</w:t>
      </w:r>
      <w:r>
        <w:t>, &amp; Fischer, A.</w:t>
      </w:r>
      <w:r>
        <w:t xml:space="preserve"> (2025). Measuring calcium signalling in T cells. </w:t>
      </w:r>
      <w:r>
        <w:rPr>
          <w:i/>
        </w:rPr>
        <w:t>Annual Meeting of the Society for Cell Biology</w:t>
      </w:r>
      <w:r>
        <w:t>, pp. 429–441.</w:t>
      </w:r>
    </w:p>
    <w:p>
      <w:pPr>
        <w:pStyle w:val="Citation"/>
      </w:pPr>
      <w:r/>
      <w:r>
        <w:rPr>
          <w:b/>
          <w:bCs/>
        </w:rPr>
        <w:t>Rao, K.</w:t>
      </w:r>
      <w:r>
        <w:t>, Banerjee, P., Chen, L., &amp; Menon, V.</w:t>
      </w:r>
      <w:r>
        <w:t xml:space="preserve"> (2025). A study of microbiome shifts after antibiotics. </w:t>
      </w:r>
      <w:r>
        <w:rPr>
          <w:i/>
        </w:rPr>
        <w:t>Genome Methods Letters</w:t>
      </w:r>
      <w:r>
        <w:t>, 13(6), 756–767.</w:t>
      </w:r>
    </w:p>
    <w:p>
      <w:pPr>
        <w:pStyle w:val="Citation"/>
      </w:pPr>
      <w:r>
        <w:t xml:space="preserve">Mensah, K., Chen, L., &amp; </w:t>
      </w:r>
      <w:r>
        <w:rPr>
          <w:b/>
          <w:bCs/>
        </w:rPr>
        <w:t>Rao, K.</w:t>
      </w:r>
      <w:r/>
      <w:r>
        <w:t xml:space="preserve"> (2025). New approaches to protein folding stress responses. </w:t>
      </w:r>
      <w:r>
        <w:rPr>
          <w:i/>
        </w:rPr>
        <w:t>Annual Meeting of the Society for Cell Biology</w:t>
      </w:r>
      <w:r>
        <w:t>, pp. 491–502.</w:t>
      </w:r>
    </w:p>
    <w:p>
      <w:pPr>
        <w:pStyle w:val="Citation"/>
      </w:pPr>
      <w:r>
        <w:t xml:space="preserve">Kim, J., </w:t>
      </w:r>
      <w:r>
        <w:rPr>
          <w:b/>
          <w:bCs/>
        </w:rPr>
        <w:t>Rao, K.</w:t>
      </w:r>
      <w:r>
        <w:t>, Mensah, K., &amp; Fischer, A.</w:t>
      </w:r>
      <w:r>
        <w:t xml:space="preserve"> (2024). Designing for calcium signalling in T cells. </w:t>
      </w:r>
      <w:r>
        <w:rPr>
          <w:i/>
        </w:rPr>
        <w:t>Molecular Systems Reports</w:t>
      </w:r>
      <w:r>
        <w:t>, 34(11), 875–886.</w:t>
      </w:r>
    </w:p>
    <w:p>
      <w:pPr>
        <w:pStyle w:val="Citation"/>
      </w:pPr>
      <w:r>
        <w:t xml:space="preserve">Haddad, N., Banerjee, P., &amp; </w:t>
      </w:r>
      <w:r>
        <w:rPr>
          <w:b/>
          <w:bCs/>
        </w:rPr>
        <w:t>Rao, K.</w:t>
      </w:r>
      <w:r/>
      <w:r>
        <w:t xml:space="preserve"> (2024). Designing for microbiome shifts after antibiotics. </w:t>
      </w:r>
      <w:r>
        <w:rPr>
          <w:i/>
        </w:rPr>
        <w:t>Frontiers in Microbial Research</w:t>
      </w:r>
      <w:r>
        <w:t>, 32(11), 125–147.</w:t>
      </w:r>
    </w:p>
    <w:p>
      <w:pPr>
        <w:pStyle w:val="Citation"/>
      </w:pPr>
      <w:r>
        <w:t xml:space="preserve">Iyer, M., &amp; </w:t>
      </w:r>
      <w:r>
        <w:rPr>
          <w:b/>
          <w:bCs/>
        </w:rPr>
        <w:t>Rao, K.</w:t>
      </w:r>
      <w:r/>
      <w:r>
        <w:t xml:space="preserve"> (2024). Evidence on circadian control of metabolism. </w:t>
      </w:r>
      <w:r>
        <w:rPr>
          <w:i/>
        </w:rPr>
        <w:t>Genome Methods Letters</w:t>
      </w:r>
      <w:r>
        <w:t>, 23(10), 573–583.</w:t>
      </w:r>
    </w:p>
    <w:p>
      <w:pPr>
        <w:pStyle w:val="Citation"/>
      </w:pPr>
      <w:r/>
      <w:r>
        <w:rPr>
          <w:b/>
          <w:bCs/>
        </w:rPr>
        <w:t>Rao, K.</w:t>
      </w:r>
      <w:r>
        <w:t>, Gupta, R., Chen, L., &amp; Kim, J.</w:t>
      </w:r>
      <w:r>
        <w:t xml:space="preserve"> (2023). Understanding CRISPR screens for drug resistance. </w:t>
      </w:r>
      <w:r>
        <w:rPr>
          <w:i/>
        </w:rPr>
        <w:t>Journal of Cellular Signalling</w:t>
      </w:r>
      <w:r>
        <w:t>, 31(12), 285–302.</w:t>
      </w:r>
    </w:p>
    <w:p>
      <w:pPr>
        <w:pStyle w:val="Citation"/>
      </w:pPr>
      <w:r>
        <w:t xml:space="preserve">Menon, V., </w:t>
      </w:r>
      <w:r>
        <w:rPr>
          <w:b/>
          <w:bCs/>
        </w:rPr>
        <w:t>Rao, K.</w:t>
      </w:r>
      <w:r>
        <w:t>, &amp; Okafor, D.</w:t>
      </w:r>
      <w:r>
        <w:t xml:space="preserve"> (2023). New approaches to microbiome shifts after antibiotics. </w:t>
      </w:r>
      <w:r>
        <w:rPr>
          <w:i/>
        </w:rPr>
        <w:t>Molecular Systems Reports</w:t>
      </w:r>
      <w:r>
        <w:t>, 44(12), 185–196.</w:t>
      </w:r>
    </w:p>
    <w:p>
      <w:pPr>
        <w:pStyle w:val="Citation"/>
      </w:pPr>
      <w:r/>
      <w:r>
        <w:rPr>
          <w:b/>
          <w:bCs/>
        </w:rPr>
        <w:t>Rao, K.</w:t>
      </w:r>
      <w:r>
        <w:t>, Chen, L., &amp; Gupta, R.</w:t>
      </w:r>
      <w:r>
        <w:t xml:space="preserve"> (2023). Measuring single-cell atlases of the liver. </w:t>
      </w:r>
      <w:r>
        <w:rPr>
          <w:i/>
        </w:rPr>
        <w:t>Genome Methods Letters</w:t>
      </w:r>
      <w:r>
        <w:t>, 37(9), 811–829.</w:t>
      </w:r>
    </w:p>
    <w:p>
      <w:pPr>
        <w:pStyle w:val="Citation"/>
      </w:pPr>
      <w:r>
        <w:t xml:space="preserve">Rao, S., &amp; </w:t>
      </w:r>
      <w:r>
        <w:rPr>
          <w:b/>
          <w:bCs/>
        </w:rPr>
        <w:t>Rao, K.</w:t>
      </w:r>
      <w:r/>
      <w:r>
        <w:t xml:space="preserve"> (2022). Understanding CRISPR screens for drug resistance. </w:t>
      </w:r>
      <w:r>
        <w:rPr>
          <w:i/>
        </w:rPr>
        <w:t>Annual Meeting of the Society for Cell Biology</w:t>
      </w:r>
      <w:r>
        <w:t>, pp. 372–381.</w:t>
      </w:r>
    </w:p>
    <w:p>
      <w:pPr>
        <w:pStyle w:val="Citation"/>
      </w:pPr>
      <w:r>
        <w:t xml:space="preserve">Chen, L., Menon, V., &amp; </w:t>
      </w:r>
      <w:r>
        <w:rPr>
          <w:b/>
          <w:bCs/>
        </w:rPr>
        <w:t>Rao, K.</w:t>
      </w:r>
      <w:r/>
      <w:r>
        <w:t xml:space="preserve"> (2022). Evidence on protein folding stress responses. </w:t>
      </w:r>
      <w:r>
        <w:rPr>
          <w:i/>
        </w:rPr>
        <w:t>Frontiers in Microbial Research</w:t>
      </w:r>
      <w:r>
        <w:t>, 36(11), 883–905.</w:t>
      </w:r>
    </w:p>
    <w:p>
      <w:pPr>
        <w:pStyle w:val="Citation"/>
      </w:pPr>
      <w:r>
        <w:t xml:space="preserve">Banerjee, P., </w:t>
      </w:r>
      <w:r>
        <w:rPr>
          <w:b/>
          <w:bCs/>
        </w:rPr>
        <w:t>Rao, K.</w:t>
      </w:r>
      <w:r>
        <w:t>, &amp; Sato, Y.</w:t>
      </w:r>
      <w:r>
        <w:t xml:space="preserve"> (2022). Towards microbiome shifts after antibiotics. </w:t>
      </w:r>
      <w:r>
        <w:rPr>
          <w:i/>
        </w:rPr>
        <w:t>Annual Meeting of the Society for Cell Biology</w:t>
      </w:r>
      <w:r>
        <w:t>, pp. 421–430.</w:t>
      </w:r>
    </w:p>
    <w:p>
      <w:pPr>
        <w:pStyle w:val="Citation"/>
      </w:pPr>
      <w:r>
        <w:t xml:space="preserve">Haddad, N., &amp; </w:t>
      </w:r>
      <w:r>
        <w:rPr>
          <w:b/>
          <w:bCs/>
        </w:rPr>
        <w:t>Rao, K.</w:t>
      </w:r>
      <w:r/>
      <w:r>
        <w:t xml:space="preserve"> (2021). Towards protein folding stress responses. </w:t>
      </w:r>
      <w:r>
        <w:rPr>
          <w:i/>
        </w:rPr>
        <w:t>Genome Methods Letters</w:t>
      </w:r>
      <w:r>
        <w:t>, 22(9), 539–554.</w:t>
      </w:r>
    </w:p>
    <w:p>
      <w:pPr>
        <w:pStyle w:val="SectionHeading"/>
      </w:pPr>
      <w:r>
        <w:t>05   Conference Presentations &amp; Invited Talks</w:t>
      </w:r>
    </w:p>
    <w:p>
      <w:pPr>
        <w:pStyle w:val="ResumeBullet"/>
      </w:pPr>
      <w:r>
        <w:t>Invited talk: “Evidence on circadian control of metabolism”, Symposium on Cellular Signalling, Pune, 2026.</w:t>
      </w:r>
    </w:p>
    <w:p>
      <w:pPr>
        <w:pStyle w:val="ResumeBullet"/>
      </w:pPr>
      <w:r>
        <w:t>Contributed talk: “Evidence on circadian control of metabolism”, Molecular Systems Reports, Chennai, 2026.</w:t>
      </w:r>
    </w:p>
    <w:p>
      <w:pPr>
        <w:pStyle w:val="ResumeBullet"/>
      </w:pPr>
      <w:r>
        <w:t>Seminar: “Measuring single-cell atlases of the liver”, Annual Meeting of the Society for Cell Biology, Singapore, 2025.</w:t>
      </w:r>
    </w:p>
    <w:p>
      <w:pPr>
        <w:pStyle w:val="ResumeBullet"/>
      </w:pPr>
      <w:r>
        <w:t>Invited talk: “New approaches to calcium signalling in T cells”, Molecular Systems Reports, Berlin, 2025.</w:t>
      </w:r>
    </w:p>
    <w:p>
      <w:pPr>
        <w:pStyle w:val="ResumeBullet"/>
      </w:pPr>
      <w:r>
        <w:t>Contributed talk: “Understanding circadian control of metabolism”, Molecular Systems Reports, Hyderabad, 2024.</w:t>
      </w:r>
    </w:p>
    <w:p>
      <w:pPr>
        <w:pStyle w:val="ResumeBullet"/>
      </w:pPr>
      <w:r>
        <w:t>Keynote: “Scaling single-cell atlases of the liver”, Genome Methods Letters, Berlin, 2024.</w:t>
      </w:r>
    </w:p>
    <w:p>
      <w:pPr>
        <w:pStyle w:val="ResumeBullet"/>
      </w:pPr>
      <w:r>
        <w:t>Keynote: “Scaling circadian control of metabolism”, Genome Methods Letters, Bengaluru, 2023.</w:t>
      </w:r>
    </w:p>
    <w:p>
      <w:pPr>
        <w:pStyle w:val="ResumeBullet"/>
      </w:pPr>
      <w:r>
        <w:t>Poster: “Designing for single-cell atlases of the liver”, Annual Meeting of the Society for Cell Biology, London, 2023.</w:t>
      </w:r>
    </w:p>
    <w:p>
      <w:pPr>
        <w:pStyle w:val="SectionHeading"/>
      </w:pPr>
      <w:r>
        <w:t>06   Teaching</w:t>
      </w:r>
    </w:p>
    <w:p>
      <w:pPr>
        <w:pStyle w:val="ResumeBullet"/>
      </w:pPr>
      <w:r>
        <w:t>Instructor, Hands-on Flow Cytometry Workshop (annual, 2023–2025)</w:t>
      </w:r>
    </w:p>
    <w:p>
      <w:pPr>
        <w:pStyle w:val="ResumeBullet"/>
      </w:pPr>
      <w:r>
        <w:t>Mentor to 6 M.Sc. dissertation students (2019–2025)</w:t>
      </w:r>
    </w:p>
    <w:p>
      <w:pPr>
        <w:pStyle w:val="ResumeBullet"/>
      </w:pPr>
      <w:r>
        <w:t>Guest lecturer, Immunology, Ganga Valley University (2024)</w:t>
      </w:r>
    </w:p>
    <w:p>
      <w:pPr>
        <w:pStyle w:val="SectionHeading"/>
      </w:pPr>
      <w:r>
        <w:t>07   Grants, Awards &amp; Honours</w:t>
      </w:r>
    </w:p>
    <w:p>
      <w:pPr>
        <w:pStyle w:val="ResumeBullet"/>
      </w:pPr>
      <w:r>
        <w:t>Early Career Fellowship, national biomedical trust (2022–2027), ₹1.2 crore</w:t>
      </w:r>
    </w:p>
    <w:p>
      <w:pPr>
        <w:pStyle w:val="ResumeBullet"/>
      </w:pPr>
      <w:r>
        <w:t>EMBO-style Short-Term Fellowship (2020)</w:t>
      </w:r>
    </w:p>
    <w:p>
      <w:pPr>
        <w:pStyle w:val="ResumeBullet"/>
      </w:pPr>
      <w:r>
        <w:t>Best Thesis Award, institute (2022)</w:t>
      </w:r>
    </w:p>
    <w:p>
      <w:pPr>
        <w:pStyle w:val="ResumeBullet"/>
      </w:pPr>
      <w:r>
        <w:t>Young Scientist Award, Society for Cell Biology meeting (2021)</w:t>
      </w:r>
    </w:p>
    <w:p>
      <w:pPr>
        <w:pStyle w:val="SectionHeading"/>
      </w:pPr>
      <w:r>
        <w:t>08   Professional Service</w:t>
      </w:r>
    </w:p>
    <w:p>
      <w:pPr>
        <w:pStyle w:val="ResumeBullet"/>
      </w:pPr>
      <w:r>
        <w:t>Reviewer for Journal of Cellular Signalling and Molecular Systems Reports</w:t>
      </w:r>
    </w:p>
    <w:p>
      <w:pPr>
        <w:pStyle w:val="ResumeBullet"/>
      </w:pPr>
      <w:r>
        <w:t>Co-organiser, Hyderabad Immunology Club seminar series (2023–present)</w:t>
      </w:r>
    </w:p>
    <w:p>
      <w:pPr>
        <w:pStyle w:val="ResumeBullet"/>
      </w:pPr>
      <w:r>
        <w:t>Science outreach volunteer for government schools</w:t>
      </w:r>
    </w:p>
    <w:p>
      <w:pPr>
        <w:pStyle w:val="SectionHeading"/>
      </w:pPr>
      <w:r>
        <w:t>09   Skills</w:t>
      </w:r>
    </w:p>
    <w:p>
      <w:pPr>
        <w:pStyle w:val="BodyText"/>
      </w:pPr>
      <w:r>
        <w:rPr>
          <w:b/>
          <w:bCs/>
        </w:rPr>
        <w:t xml:space="preserve">Wet lab: </w:t>
      </w:r>
      <w:r>
        <w:t>CRISPR screening, flow cytometry, confocal and live imaging, primary T-cell culture, qPCR</w:t>
      </w:r>
    </w:p>
    <w:p>
      <w:pPr>
        <w:pStyle w:val="BodyText"/>
      </w:pPr>
      <w:r>
        <w:rPr>
          <w:b/>
          <w:bCs/>
        </w:rPr>
        <w:t xml:space="preserve">Computational: </w:t>
      </w:r>
      <w:r>
        <w:t>R (Seurat), Python, ImageJ/Fiji, basic Linux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Telugu (native), Hindi</w:t>
      </w:r>
    </w:p>
    <w:p>
      <w:pPr>
        <w:pStyle w:val="SectionHeading"/>
      </w:pPr>
      <w:r>
        <w:t>10   References</w:t>
      </w:r>
    </w:p>
    <w:p>
      <w:pPr>
        <w:pStyle w:val="BodyText"/>
        <w:keepNext/>
        <w:spacing w:after="0"/>
      </w:pPr>
      <w:r>
        <w:rPr>
          <w:b/>
          <w:bCs/>
        </w:rPr>
        <w:t>Prof. A. Fischer</w:t>
      </w:r>
    </w:p>
    <w:p>
      <w:pPr>
        <w:pStyle w:val="BodyText"/>
        <w:keepNext/>
        <w:spacing w:after="0"/>
      </w:pPr>
      <w:r>
        <w:t>Group Leader, Riverstone Institute for Immunology</w:t>
      </w:r>
    </w:p>
    <w:p>
      <w:pPr>
        <w:pStyle w:val="BodyText"/>
        <w:spacing w:after="100"/>
      </w:pPr>
      <w:r>
        <w:t>a.fischer@institute.edu</w:t>
      </w:r>
    </w:p>
    <w:p>
      <w:pPr>
        <w:pStyle w:val="BodyText"/>
        <w:keepNext/>
        <w:spacing w:after="0"/>
      </w:pPr>
      <w:r>
        <w:rPr>
          <w:b/>
          <w:bCs/>
        </w:rPr>
        <w:t>Dr. P. Banerjee</w:t>
      </w:r>
    </w:p>
    <w:p>
      <w:pPr>
        <w:pStyle w:val="BodyText"/>
        <w:keepNext/>
        <w:spacing w:after="0"/>
      </w:pPr>
      <w:r>
        <w:t>Scientist, National Centre for Cell Science Research</w:t>
      </w:r>
    </w:p>
    <w:p>
      <w:pPr>
        <w:pStyle w:val="BodyText"/>
        <w:spacing w:after="100"/>
      </w:pPr>
      <w:r>
        <w:t>p.banerjee@institute.edu</w:t>
      </w:r>
    </w:p>
    <w:p>
      <w:pPr>
        <w:pStyle w:val="BodyText"/>
        <w:keepNext/>
        <w:spacing w:after="0"/>
      </w:pPr>
      <w:r>
        <w:rPr>
          <w:b/>
          <w:bCs/>
        </w:rPr>
        <w:t>Dr. Y. Sato</w:t>
      </w:r>
    </w:p>
    <w:p>
      <w:pPr>
        <w:pStyle w:val="BodyText"/>
        <w:keepNext/>
        <w:spacing w:after="0"/>
      </w:pPr>
      <w:r>
        <w:t>Principal Investigator, Kestrel Genomics Centre</w:t>
      </w:r>
    </w:p>
    <w:p>
      <w:pPr>
        <w:pStyle w:val="BodyText"/>
        <w:spacing w:after="100"/>
      </w:pPr>
      <w:r>
        <w:t>y.sato@institute.example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Dr. Kavita Rao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83" w:hanging="227"/>
      </w:pPr>
      <w:rPr>
        <w:rFonts w:ascii="Arial" w:hAnsi="Arial" w:cs="Arial" w:hint="default"/>
        <w:color w:val="0B6E4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Source Sans 3" w:hAnsi="Source Sans 3" w:eastAsia="Source Sans 3" w:cs="Mukta"/>
      <w:color w:val="1E1E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Merriweather" w:hAnsi="Merriweather" w:eastAsia="Merriweather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555555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Merriweather" w:hAnsi="Merriweather" w:eastAsia="Merriweather" w:cs="Mukta"/>
      <w:b/>
      <w:bCs/>
      <w:i w:val="0"/>
      <w:caps/>
      <w:smallCaps w:val="0"/>
      <w:color w:val="0B6E4F"/>
      <w:spacing w:val="28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Source Sans 3" w:hAnsi="Source Sans 3" w:eastAsia="Source Sans 3" w:cs="Mukta"/>
      <w:b/>
      <w:bCs/>
      <w:i w:val="0"/>
      <w:caps w:val="0"/>
      <w:smallCaps w:val="0"/>
      <w:color w:val="1E1E1E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Mukta"/>
      <w:b w:val="0"/>
      <w:i/>
      <w:caps w:val="0"/>
      <w:smallCaps w:val="0"/>
      <w:color w:val="444444"/>
      <w:sz w:val="20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Strip · Numbered — Postdoc (Biology)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