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pBdr>
          <w:left w:val="single" w:sz="4" w:space="16" w:color="101F4B"/>
          <w:right w:val="single" w:sz="4" w:space="16" w:color="101F4B"/>
        </w:pBdr>
        <w:shd w:val="clear" w:color="auto" w:fill="101F4B"/>
        <w:spacing w:line="192" w:lineRule="auto"/>
        <w:ind w:left="340" w:right="340"/>
      </w:pPr>
    </w:p>
    <w:p>
      <w:pPr>
        <w:pStyle w:val="Name"/>
        <w:pBdr>
          <w:left w:val="single" w:sz="4" w:space="16" w:color="101F4B"/>
          <w:right w:val="single" w:sz="4" w:space="16" w:color="101F4B"/>
        </w:pBdr>
        <w:shd w:val="clear" w:color="auto" w:fill="101F4B"/>
        <w:spacing w:before="0"/>
        <w:ind w:left="340" w:right="340"/>
      </w:pPr>
      <w:r>
        <w:t>Prof. Meenakshi Sundaram</w:t>
      </w:r>
    </w:p>
    <w:p>
      <w:pPr>
        <w:pStyle w:val="Role"/>
        <w:pBdr>
          <w:left w:val="single" w:sz="4" w:space="16" w:color="101F4B"/>
          <w:right w:val="single" w:sz="4" w:space="16" w:color="101F4B"/>
        </w:pBdr>
        <w:shd w:val="clear" w:color="auto" w:fill="101F4B"/>
        <w:ind w:left="340" w:right="340"/>
      </w:pPr>
      <w:r>
        <w:t>Professor of Economics</w:t>
      </w:r>
    </w:p>
    <w:p>
      <w:pPr>
        <w:pStyle w:val="Contact"/>
        <w:pBdr>
          <w:left w:val="single" w:sz="4" w:space="16" w:color="101F4B"/>
          <w:right w:val="single" w:sz="4" w:space="16" w:color="101F4B"/>
        </w:pBdr>
        <w:shd w:val="clear" w:color="auto" w:fill="101F4B"/>
        <w:ind w:left="340" w:right="340"/>
      </w:pPr>
      <w:r>
        <w:t>Chennai, India</w:t>
      </w:r>
      <w:r>
        <w:rPr>
          <w:color w:val="E5E7EB"/>
        </w:rPr>
        <w:t xml:space="preserve">   |   </w:t>
      </w:r>
      <w:r>
        <w:t>+91 94440 77889</w:t>
      </w:r>
      <w:r>
        <w:rPr>
          <w:color w:val="E5E7EB"/>
        </w:rPr>
        <w:t xml:space="preserve">   |   </w:t>
      </w:r>
      <w:r>
        <w:t>m.sundaram@university.edu</w:t>
      </w:r>
      <w:r>
        <w:rPr>
          <w:color w:val="E5E7EB"/>
        </w:rPr>
        <w:t xml:space="preserve">   |   </w:t>
      </w:r>
      <w:r>
        <w:t>meenakshisundaram.org</w:t>
      </w:r>
    </w:p>
    <w:p>
      <w:pPr>
        <w:pStyle w:val="Contact"/>
        <w:pBdr>
          <w:left w:val="single" w:sz="4" w:space="16" w:color="101F4B"/>
          <w:right w:val="single" w:sz="4" w:space="16" w:color="101F4B"/>
        </w:pBdr>
        <w:shd w:val="clear" w:color="auto" w:fill="101F4B"/>
        <w:spacing w:before="0" w:after="0" w:line="144" w:lineRule="auto"/>
        <w:ind w:left="340" w:right="340"/>
      </w:pPr>
      <w:r/>
    </w:p>
    <w:p>
      <w:pPr>
        <w:pStyle w:val="SectionHeading"/>
        <w:pBdr>
          <w:top w:val="single" w:sz="6" w:space="2" w:color="1E3A8A"/>
          <w:left w:val="single" w:sz="6" w:space="4" w:color="1E3A8A"/>
          <w:bottom w:val="single" w:sz="6" w:space="2" w:color="1E3A8A"/>
          <w:right w:val="single" w:sz="6" w:space="4" w:color="1E3A8A"/>
        </w:pBdr>
        <w:ind w:left="57" w:right="57"/>
      </w:pPr>
      <w:r>
        <w:t>Profile</w:t>
      </w:r>
    </w:p>
    <w:p>
      <w:pPr>
        <w:pStyle w:val="Summary"/>
        <w:ind w:left="1531" w:right="0"/>
      </w:pPr>
      <w:r>
        <w:t>Development economist working on household finance, labour markets and the evaluation of public programmes in South Asia. Twenty years of teaching, research and policy engagement.</w:t>
      </w:r>
    </w:p>
    <w:p>
      <w:pPr>
        <w:pStyle w:val="SectionHeading"/>
        <w:pBdr>
          <w:top w:val="single" w:sz="6" w:space="2" w:color="1E3A8A"/>
          <w:left w:val="single" w:sz="6" w:space="4" w:color="1E3A8A"/>
          <w:bottom w:val="single" w:sz="6" w:space="2" w:color="1E3A8A"/>
          <w:right w:val="single" w:sz="6" w:space="4" w:color="1E3A8A"/>
        </w:pBdr>
        <w:ind w:left="57" w:right="57"/>
      </w:pPr>
      <w:r>
        <w:t>Education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2002 – 2007</w:t>
      </w:r>
      <w:r>
        <w:tab/>
      </w:r>
      <w:r>
        <w:t>Ph.D., Economics</w:t>
      </w:r>
    </w:p>
    <w:p>
      <w:pPr>
        <w:pStyle w:val="EntryMeta"/>
        <w:ind w:left="1531" w:right="0"/>
      </w:pPr>
      <w:r>
        <w:t>Carlisle University</w:t>
      </w:r>
    </w:p>
    <w:p>
      <w:pPr>
        <w:pStyle w:val="BodyText"/>
        <w:ind w:left="1531" w:right="0"/>
      </w:pPr>
      <w:r>
        <w:t>Dissertation: Credit, risk and the rural household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1999 – 2001</w:t>
      </w:r>
      <w:r>
        <w:tab/>
      </w:r>
      <w:r>
        <w:t>M.A., Economics</w:t>
      </w:r>
    </w:p>
    <w:p>
      <w:pPr>
        <w:pStyle w:val="EntryMeta"/>
        <w:ind w:left="1531" w:right="0"/>
      </w:pPr>
      <w:r>
        <w:t>Ganga Valley University</w:t>
      </w:r>
    </w:p>
    <w:p>
      <w:pPr>
        <w:pStyle w:val="BodyText"/>
        <w:ind w:left="1531" w:right="0"/>
      </w:pPr>
      <w:r>
        <w:t>First rank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1996 – 1999</w:t>
      </w:r>
      <w:r>
        <w:tab/>
      </w:r>
      <w:r>
        <w:t>B.A. (Hons.), Economics</w:t>
      </w:r>
    </w:p>
    <w:p>
      <w:pPr>
        <w:pStyle w:val="EntryMeta"/>
        <w:ind w:left="1531" w:right="0"/>
      </w:pPr>
      <w:r>
        <w:t>St. Aldwin's College</w:t>
      </w:r>
    </w:p>
    <w:p>
      <w:pPr>
        <w:pStyle w:val="SectionHeading"/>
        <w:pBdr>
          <w:top w:val="single" w:sz="6" w:space="2" w:color="1E3A8A"/>
          <w:left w:val="single" w:sz="6" w:space="4" w:color="1E3A8A"/>
          <w:bottom w:val="single" w:sz="6" w:space="2" w:color="1E3A8A"/>
          <w:right w:val="single" w:sz="6" w:space="4" w:color="1E3A8A"/>
        </w:pBdr>
        <w:ind w:left="57" w:right="57"/>
      </w:pPr>
      <w:r>
        <w:t>Research Experience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2016 – Present</w:t>
      </w:r>
      <w:r>
        <w:tab/>
      </w:r>
      <w:r>
        <w:t>Professor of Economics</w:t>
      </w:r>
    </w:p>
    <w:p>
      <w:pPr>
        <w:pStyle w:val="EntryMeta"/>
        <w:ind w:left="1531" w:right="0"/>
      </w:pPr>
      <w:r>
        <w:t>Coromandel School of Economics</w:t>
      </w:r>
    </w:p>
    <w:p>
      <w:pPr>
        <w:pStyle w:val="ResumeBullet"/>
      </w:pPr>
      <w:r>
        <w:t>Lead a 15-member research group running field experiments in four states.</w:t>
      </w:r>
    </w:p>
    <w:p>
      <w:pPr>
        <w:pStyle w:val="ResumeBullet"/>
      </w:pPr>
      <w:r>
        <w:t>Director, Centre for Household Finance (2019–present).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2011 – 2016</w:t>
      </w:r>
      <w:r>
        <w:tab/>
      </w:r>
      <w:r>
        <w:t>Associate Professor</w:t>
      </w:r>
    </w:p>
    <w:p>
      <w:pPr>
        <w:pStyle w:val="EntryMeta"/>
        <w:ind w:left="1531" w:right="0"/>
      </w:pPr>
      <w:r>
        <w:t>Coromandel School of Economics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2007 – 2011</w:t>
      </w:r>
      <w:r>
        <w:tab/>
      </w:r>
      <w:r>
        <w:t>Assistant Professor</w:t>
      </w:r>
    </w:p>
    <w:p>
      <w:pPr>
        <w:pStyle w:val="EntryMeta"/>
        <w:ind w:left="1531" w:right="0"/>
      </w:pPr>
      <w:r>
        <w:t>Westbridge Institute of Social Science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8"/>
        </w:rPr>
        <w:t>2018 – 2019</w:t>
      </w:r>
      <w:r>
        <w:tab/>
      </w:r>
      <w:r>
        <w:t>Visiting Scholar</w:t>
      </w:r>
    </w:p>
    <w:p>
      <w:pPr>
        <w:pStyle w:val="EntryMeta"/>
        <w:ind w:left="1531" w:right="0"/>
      </w:pPr>
      <w:r>
        <w:t>Linden Hill University</w:t>
      </w:r>
    </w:p>
    <w:p>
      <w:pPr>
        <w:pStyle w:val="ResumeBullet"/>
      </w:pPr>
      <w:r>
        <w:t>Sabbatical; co-authored three papers on digital payments.</w:t>
      </w:r>
    </w:p>
    <w:p>
      <w:pPr>
        <w:pStyle w:val="SectionHeading"/>
        <w:pBdr>
          <w:top w:val="single" w:sz="6" w:space="2" w:color="1E3A8A"/>
          <w:left w:val="single" w:sz="6" w:space="4" w:color="1E3A8A"/>
          <w:bottom w:val="single" w:sz="6" w:space="2" w:color="1E3A8A"/>
          <w:right w:val="single" w:sz="6" w:space="4" w:color="1E3A8A"/>
        </w:pBdr>
        <w:ind w:left="57" w:right="57"/>
      </w:pPr>
      <w:r>
        <w:t>Publications</w:t>
      </w:r>
    </w:p>
    <w:p>
      <w:pPr>
        <w:pStyle w:val="Citation"/>
      </w:pPr>
      <w:r>
        <w:t xml:space="preserve">Sato, Y., Fischer, A., </w:t>
      </w:r>
      <w:r>
        <w:rPr>
          <w:b/>
          <w:bCs/>
        </w:rPr>
        <w:t>Sundaram, M.</w:t>
      </w:r>
      <w:r>
        <w:t>, &amp; Kim, J.</w:t>
      </w:r>
      <w:r>
        <w:t xml:space="preserve"> (2026). Understanding female labour force participation. </w:t>
      </w:r>
      <w:r>
        <w:rPr>
          <w:i/>
        </w:rPr>
        <w:t>Economic Policy Letters</w:t>
      </w:r>
      <w:r>
        <w:t>, 8(3), 264–286.</w:t>
      </w:r>
    </w:p>
    <w:p>
      <w:pPr>
        <w:pStyle w:val="Citation"/>
      </w:pPr>
      <w:r>
        <w:t xml:space="preserve">Mensah, K., Menon, V., Kim, J., &amp; </w:t>
      </w:r>
      <w:r>
        <w:rPr>
          <w:b/>
          <w:bCs/>
        </w:rPr>
        <w:t>Sundaram, M.</w:t>
      </w:r>
      <w:r/>
      <w:r>
        <w:t xml:space="preserve"> (2026). Evidence on trade costs and regional growth. </w:t>
      </w:r>
      <w:r>
        <w:rPr>
          <w:i/>
        </w:rPr>
        <w:t>Annual Conference on Development Economics</w:t>
      </w:r>
      <w:r>
        <w:t>, pp. 234–247.</w:t>
      </w:r>
    </w:p>
    <w:p>
      <w:pPr>
        <w:pStyle w:val="Citation"/>
      </w:pPr>
      <w:r/>
      <w:r>
        <w:rPr>
          <w:b/>
          <w:bCs/>
        </w:rPr>
        <w:t>Sundaram, M.</w:t>
      </w:r>
      <w:r>
        <w:t>, Menon, V., &amp; Okafor, D.</w:t>
      </w:r>
      <w:r>
        <w:t xml:space="preserve"> (2026). Towards rural employment guarantees. </w:t>
      </w:r>
      <w:r>
        <w:rPr>
          <w:i/>
        </w:rPr>
        <w:t>Working Paper Series, Centre for Policy Research</w:t>
      </w:r>
      <w:r>
        <w:t>, 14(8), 24–41.</w:t>
      </w:r>
    </w:p>
    <w:p>
      <w:pPr>
        <w:pStyle w:val="Citation"/>
      </w:pPr>
      <w:r>
        <w:t xml:space="preserve">Menon, V., </w:t>
      </w:r>
      <w:r>
        <w:rPr>
          <w:b/>
          <w:bCs/>
        </w:rPr>
        <w:t>Sundaram, M.</w:t>
      </w:r>
      <w:r>
        <w:t>, &amp; Banerjee, P.</w:t>
      </w:r>
      <w:r>
        <w:t xml:space="preserve"> (2025). Rethinking digital payments and small firms. </w:t>
      </w:r>
      <w:r>
        <w:rPr>
          <w:i/>
        </w:rPr>
        <w:t>Working Paper Series, Centre for Policy Research</w:t>
      </w:r>
      <w:r>
        <w:t>, 19(7), 193–201.</w:t>
      </w:r>
    </w:p>
    <w:p>
      <w:pPr>
        <w:pStyle w:val="Citation"/>
      </w:pPr>
      <w:r>
        <w:t xml:space="preserve">Iyer, M., Fischer, A., &amp; </w:t>
      </w:r>
      <w:r>
        <w:rPr>
          <w:b/>
          <w:bCs/>
        </w:rPr>
        <w:t>Sundaram, M.</w:t>
      </w:r>
      <w:r/>
      <w:r>
        <w:t xml:space="preserve"> (2025). Evidence on school meals and attendance. </w:t>
      </w:r>
      <w:r>
        <w:rPr>
          <w:i/>
        </w:rPr>
        <w:t>Economic Policy Letters</w:t>
      </w:r>
      <w:r>
        <w:t>, 24(10), 794–807.</w:t>
      </w:r>
    </w:p>
    <w:p>
      <w:pPr>
        <w:pStyle w:val="Citation"/>
      </w:pPr>
      <w:r>
        <w:t xml:space="preserve">Rao, S., Haddad, N., Menon, V., &amp; </w:t>
      </w:r>
      <w:r>
        <w:rPr>
          <w:b/>
          <w:bCs/>
        </w:rPr>
        <w:t>Sundaram, M.</w:t>
      </w:r>
      <w:r/>
      <w:r>
        <w:t xml:space="preserve"> (2025). New approaches to female labour force participation. </w:t>
      </w:r>
      <w:r>
        <w:rPr>
          <w:i/>
        </w:rPr>
        <w:t>Annual Conference on Development Economics</w:t>
      </w:r>
      <w:r>
        <w:t>, pp. 481–489.</w:t>
      </w:r>
    </w:p>
    <w:p>
      <w:pPr>
        <w:pStyle w:val="Citation"/>
      </w:pPr>
      <w:r>
        <w:t xml:space="preserve">Okafor, D., </w:t>
      </w:r>
      <w:r>
        <w:rPr>
          <w:b/>
          <w:bCs/>
        </w:rPr>
        <w:t>Sundaram, M.</w:t>
      </w:r>
      <w:r>
        <w:t>, Banerjee, P., &amp; Mensah, K.</w:t>
      </w:r>
      <w:r>
        <w:t xml:space="preserve"> (2024). Understanding trade costs and regional growth. </w:t>
      </w:r>
      <w:r>
        <w:rPr>
          <w:i/>
        </w:rPr>
        <w:t>Working Paper Series, Centre for Policy Research</w:t>
      </w:r>
      <w:r>
        <w:t>, 40(9), 115–123.</w:t>
      </w:r>
    </w:p>
    <w:p>
      <w:pPr>
        <w:pStyle w:val="Citation"/>
      </w:pPr>
      <w:r>
        <w:t xml:space="preserve">Gupta, R., Menon, V., Chen, L., &amp; </w:t>
      </w:r>
      <w:r>
        <w:rPr>
          <w:b/>
          <w:bCs/>
        </w:rPr>
        <w:t>Sundaram, M.</w:t>
      </w:r>
      <w:r/>
      <w:r>
        <w:t xml:space="preserve"> (2024). A study of digital payments and small firms. </w:t>
      </w:r>
      <w:r>
        <w:rPr>
          <w:i/>
        </w:rPr>
        <w:t>Economic Policy Letters</w:t>
      </w:r>
      <w:r>
        <w:t>, 30(8), 619–633.</w:t>
      </w:r>
    </w:p>
    <w:p>
      <w:pPr>
        <w:pStyle w:val="Citation"/>
      </w:pPr>
      <w:r/>
      <w:r>
        <w:rPr>
          <w:b/>
          <w:bCs/>
        </w:rPr>
        <w:t>Sundaram, M.</w:t>
      </w:r>
      <w:r>
        <w:t>, &amp; Rao, S.</w:t>
      </w:r>
      <w:r>
        <w:t xml:space="preserve"> (2024). Revisiting school meals and attendance. </w:t>
      </w:r>
      <w:r>
        <w:rPr>
          <w:i/>
        </w:rPr>
        <w:t>Journal of Development Studies Review</w:t>
      </w:r>
      <w:r>
        <w:t>, 26(11), 681–702.</w:t>
      </w:r>
    </w:p>
    <w:p>
      <w:pPr>
        <w:pStyle w:val="Citation"/>
      </w:pPr>
      <w:r>
        <w:t xml:space="preserve">Banerjee, P., </w:t>
      </w:r>
      <w:r>
        <w:rPr>
          <w:b/>
          <w:bCs/>
        </w:rPr>
        <w:t>Sundaram, M.</w:t>
      </w:r>
      <w:r>
        <w:t>, Kim, J., &amp; Okafor, D.</w:t>
      </w:r>
      <w:r>
        <w:t xml:space="preserve"> (2023). Scaling trade costs and regional growth. </w:t>
      </w:r>
      <w:r>
        <w:rPr>
          <w:i/>
        </w:rPr>
        <w:t>Review of Labour and Markets</w:t>
      </w:r>
      <w:r>
        <w:t>, 10(7), 606–618.</w:t>
      </w:r>
    </w:p>
    <w:p>
      <w:pPr>
        <w:pStyle w:val="Citation"/>
      </w:pPr>
      <w:r>
        <w:t xml:space="preserve">Sato, Y., </w:t>
      </w:r>
      <w:r>
        <w:rPr>
          <w:b/>
          <w:bCs/>
        </w:rPr>
        <w:t>Sundaram, M.</w:t>
      </w:r>
      <w:r>
        <w:t>, Mensah, K., &amp; Chen, L.</w:t>
      </w:r>
      <w:r>
        <w:t xml:space="preserve"> (2023). Evidence on microfinance and household resilience. </w:t>
      </w:r>
      <w:r>
        <w:rPr>
          <w:i/>
        </w:rPr>
        <w:t>Review of Labour and Markets</w:t>
      </w:r>
      <w:r>
        <w:t>, 33(3), 589–600.</w:t>
      </w:r>
    </w:p>
    <w:p>
      <w:pPr>
        <w:pStyle w:val="Citation"/>
      </w:pPr>
      <w:r>
        <w:t xml:space="preserve">Sato, Y., Banerjee, P., &amp; </w:t>
      </w:r>
      <w:r>
        <w:rPr>
          <w:b/>
          <w:bCs/>
        </w:rPr>
        <w:t>Sundaram, M.</w:t>
      </w:r>
      <w:r/>
      <w:r>
        <w:t xml:space="preserve"> (2023). Towards digital payments and small firms. </w:t>
      </w:r>
      <w:r>
        <w:rPr>
          <w:i/>
        </w:rPr>
        <w:t>Annual Conference on Development Economics</w:t>
      </w:r>
      <w:r>
        <w:t>, pp. 551–560.</w:t>
      </w:r>
    </w:p>
    <w:p>
      <w:pPr>
        <w:pStyle w:val="Citation"/>
      </w:pPr>
      <w:r>
        <w:t xml:space="preserve">Menon, V., Okafor, D., &amp; </w:t>
      </w:r>
      <w:r>
        <w:rPr>
          <w:b/>
          <w:bCs/>
        </w:rPr>
        <w:t>Sundaram, M.</w:t>
      </w:r>
      <w:r/>
      <w:r>
        <w:t xml:space="preserve"> (2022). A study of monsoon shocks and food prices. </w:t>
      </w:r>
      <w:r>
        <w:rPr>
          <w:i/>
        </w:rPr>
        <w:t>Working Paper Series, Centre for Policy Research</w:t>
      </w:r>
      <w:r>
        <w:t>, 23(11), 242–260.</w:t>
      </w:r>
    </w:p>
    <w:p>
      <w:pPr>
        <w:pStyle w:val="Citation"/>
      </w:pPr>
      <w:r/>
      <w:r>
        <w:rPr>
          <w:b/>
          <w:bCs/>
        </w:rPr>
        <w:t>Sundaram, M.</w:t>
      </w:r>
      <w:r>
        <w:t>, &amp; Chen, L.</w:t>
      </w:r>
      <w:r>
        <w:t xml:space="preserve"> (2022). Evidence on trade costs and regional growth. </w:t>
      </w:r>
      <w:r>
        <w:rPr>
          <w:i/>
        </w:rPr>
        <w:t>Annual Conference on Development Economics</w:t>
      </w:r>
      <w:r>
        <w:t>, pp. 152–163.</w:t>
      </w:r>
    </w:p>
    <w:p>
      <w:pPr>
        <w:pStyle w:val="Citation"/>
      </w:pPr>
      <w:r/>
      <w:r>
        <w:rPr>
          <w:b/>
          <w:bCs/>
        </w:rPr>
        <w:t>Sundaram, M.</w:t>
      </w:r>
      <w:r>
        <w:t>, &amp; Gupta, R.</w:t>
      </w:r>
      <w:r>
        <w:t xml:space="preserve"> (2022). Evidence on microfinance and household resilience. </w:t>
      </w:r>
      <w:r>
        <w:rPr>
          <w:i/>
        </w:rPr>
        <w:t>Economic Policy Letters</w:t>
      </w:r>
      <w:r>
        <w:t>, 21(10), 642–664.</w:t>
      </w:r>
    </w:p>
    <w:p>
      <w:pPr>
        <w:pStyle w:val="Citation"/>
      </w:pPr>
      <w:r/>
      <w:r>
        <w:rPr>
          <w:b/>
          <w:bCs/>
        </w:rPr>
        <w:t>Sundaram, M.</w:t>
      </w:r>
      <w:r>
        <w:t>, Gupta, R., &amp; Banerjee, P.</w:t>
      </w:r>
      <w:r>
        <w:t xml:space="preserve"> (2021). Designing for microfinance and household resilience. </w:t>
      </w:r>
      <w:r>
        <w:rPr>
          <w:i/>
        </w:rPr>
        <w:t>Economic Policy Letters</w:t>
      </w:r>
      <w:r>
        <w:t>, 42(5), 516–533.</w:t>
      </w:r>
    </w:p>
    <w:p>
      <w:pPr>
        <w:pStyle w:val="Citation"/>
      </w:pPr>
      <w:r/>
      <w:r>
        <w:rPr>
          <w:b/>
          <w:bCs/>
        </w:rPr>
        <w:t>Sundaram, M.</w:t>
      </w:r>
      <w:r>
        <w:t>, &amp; Fischer, A.</w:t>
      </w:r>
      <w:r>
        <w:t xml:space="preserve"> (2021). Evidence on trade costs and regional growth. </w:t>
      </w:r>
      <w:r>
        <w:rPr>
          <w:i/>
        </w:rPr>
        <w:t>Annual Conference on Development Economics</w:t>
      </w:r>
      <w:r>
        <w:t>, pp. 708–722.</w:t>
      </w:r>
    </w:p>
    <w:p>
      <w:pPr>
        <w:pStyle w:val="Citation"/>
      </w:pPr>
      <w:r>
        <w:t xml:space="preserve">Banerjee, P., &amp; </w:t>
      </w:r>
      <w:r>
        <w:rPr>
          <w:b/>
          <w:bCs/>
        </w:rPr>
        <w:t>Sundaram, M.</w:t>
      </w:r>
      <w:r/>
      <w:r>
        <w:t xml:space="preserve"> (2021). Designing for digital payments and small firms. </w:t>
      </w:r>
      <w:r>
        <w:rPr>
          <w:i/>
        </w:rPr>
        <w:t>Economic Policy Letters</w:t>
      </w:r>
      <w:r>
        <w:t>, 28(3), 586–604.</w:t>
      </w:r>
    </w:p>
    <w:p>
      <w:pPr>
        <w:pStyle w:val="Citation"/>
      </w:pPr>
      <w:r/>
      <w:r>
        <w:rPr>
          <w:b/>
          <w:bCs/>
        </w:rPr>
        <w:t>Sundaram, M.</w:t>
      </w:r>
      <w:r>
        <w:t>, &amp; Mensah, K.</w:t>
      </w:r>
      <w:r>
        <w:t xml:space="preserve"> (2020). Rethinking trade costs and regional growth. </w:t>
      </w:r>
      <w:r>
        <w:rPr>
          <w:i/>
        </w:rPr>
        <w:t>Economic Policy Letters</w:t>
      </w:r>
      <w:r>
        <w:t>, 35(3), 196–205.</w:t>
      </w:r>
    </w:p>
    <w:p>
      <w:pPr>
        <w:pStyle w:val="Citation"/>
      </w:pPr>
      <w:r>
        <w:t xml:space="preserve">Sato, Y., Kim, J., &amp; </w:t>
      </w:r>
      <w:r>
        <w:rPr>
          <w:b/>
          <w:bCs/>
        </w:rPr>
        <w:t>Sundaram, M.</w:t>
      </w:r>
      <w:r/>
      <w:r>
        <w:t xml:space="preserve"> (2020). New approaches to microfinance and household resilience. </w:t>
      </w:r>
      <w:r>
        <w:rPr>
          <w:i/>
        </w:rPr>
        <w:t>Economic Policy Letters</w:t>
      </w:r>
      <w:r>
        <w:t>, 5(2), 464–485.</w:t>
      </w:r>
    </w:p>
    <w:p>
      <w:pPr>
        <w:pStyle w:val="Citation"/>
      </w:pPr>
      <w:r>
        <w:t xml:space="preserve">Fischer, A., Rao, S., Banerjee, P., &amp; </w:t>
      </w:r>
      <w:r>
        <w:rPr>
          <w:b/>
          <w:bCs/>
        </w:rPr>
        <w:t>Sundaram, M.</w:t>
      </w:r>
      <w:r/>
      <w:r>
        <w:t xml:space="preserve"> (2020). Towards digital payments and small firms. </w:t>
      </w:r>
      <w:r>
        <w:rPr>
          <w:i/>
        </w:rPr>
        <w:t>Journal of Development Studies Review</w:t>
      </w:r>
      <w:r>
        <w:t>, 33(6), 339–351.</w:t>
      </w:r>
    </w:p>
    <w:p>
      <w:pPr>
        <w:pStyle w:val="Citation"/>
      </w:pPr>
      <w:r/>
      <w:r>
        <w:rPr>
          <w:b/>
          <w:bCs/>
        </w:rPr>
        <w:t>Sundaram, M.</w:t>
      </w:r>
      <w:r>
        <w:t>, Sato, Y., &amp; Iyer, M.</w:t>
      </w:r>
      <w:r>
        <w:t xml:space="preserve"> (2019). Rethinking rural employment guarantees. </w:t>
      </w:r>
      <w:r>
        <w:rPr>
          <w:i/>
        </w:rPr>
        <w:t>Working Paper Series, Centre for Policy Research</w:t>
      </w:r>
      <w:r>
        <w:t>, 43(1), 264–273.</w:t>
      </w:r>
    </w:p>
    <w:p>
      <w:pPr>
        <w:pStyle w:val="Citation"/>
      </w:pPr>
      <w:r>
        <w:t xml:space="preserve">Haddad, N., Okafor, D., &amp; </w:t>
      </w:r>
      <w:r>
        <w:rPr>
          <w:b/>
          <w:bCs/>
        </w:rPr>
        <w:t>Sundaram, M.</w:t>
      </w:r>
      <w:r/>
      <w:r>
        <w:t xml:space="preserve"> (2019). Scaling trade costs and regional growth. </w:t>
      </w:r>
      <w:r>
        <w:rPr>
          <w:i/>
        </w:rPr>
        <w:t>Review of Labour and Markets</w:t>
      </w:r>
      <w:r>
        <w:t>, 14(8), 875–894.</w:t>
      </w:r>
    </w:p>
    <w:p>
      <w:pPr>
        <w:pStyle w:val="Citation"/>
      </w:pPr>
      <w:r/>
      <w:r>
        <w:rPr>
          <w:b/>
          <w:bCs/>
        </w:rPr>
        <w:t>Sundaram, M.</w:t>
      </w:r>
      <w:r>
        <w:t>, Fischer, A., Rao, S., &amp; Haddad, N.</w:t>
      </w:r>
      <w:r>
        <w:t xml:space="preserve"> (2019). Measuring female labour force participation. </w:t>
      </w:r>
      <w:r>
        <w:rPr>
          <w:i/>
        </w:rPr>
        <w:t>Review of Labour and Markets</w:t>
      </w:r>
      <w:r>
        <w:t>, 33(4), 149–167.</w:t>
      </w:r>
    </w:p>
    <w:p>
      <w:pPr>
        <w:pStyle w:val="SectionHeading"/>
        <w:pBdr>
          <w:top w:val="single" w:sz="6" w:space="2" w:color="1E3A8A"/>
          <w:left w:val="single" w:sz="6" w:space="4" w:color="1E3A8A"/>
          <w:bottom w:val="single" w:sz="6" w:space="2" w:color="1E3A8A"/>
          <w:right w:val="single" w:sz="6" w:space="4" w:color="1E3A8A"/>
        </w:pBdr>
        <w:ind w:left="57" w:right="57"/>
      </w:pPr>
      <w:r>
        <w:t>Conference Presentations &amp; Invited Talks</w:t>
      </w:r>
    </w:p>
    <w:p>
      <w:pPr>
        <w:pStyle w:val="ResumeBullet"/>
      </w:pPr>
      <w:r>
        <w:t>Poster: “Understanding school meals and attendance”, Symposium on Development Studies Review, Berlin, 2026.</w:t>
      </w:r>
    </w:p>
    <w:p>
      <w:pPr>
        <w:pStyle w:val="ResumeBullet"/>
      </w:pPr>
      <w:r>
        <w:t>Seminar: “Scaling digital payments and small firms”, Annual Conference on Development Economics, Melbourne, 2026.</w:t>
      </w:r>
    </w:p>
    <w:p>
      <w:pPr>
        <w:pStyle w:val="ResumeBullet"/>
      </w:pPr>
      <w:r>
        <w:t>Seminar: “Revisiting digital payments and small firms”, Working Paper Series, Centre for Policy Research, Toronto, 2025.</w:t>
      </w:r>
    </w:p>
    <w:p>
      <w:pPr>
        <w:pStyle w:val="ResumeBullet"/>
      </w:pPr>
      <w:r>
        <w:t>Contributed talk: “Measuring female labour force participation”, Review of Labour and Markets, Melbourne, 2025.</w:t>
      </w:r>
    </w:p>
    <w:p>
      <w:pPr>
        <w:pStyle w:val="ResumeBullet"/>
      </w:pPr>
      <w:r>
        <w:t>Poster: “Rethinking female labour force participation”, Working Paper Series, Centre for Policy Research, Melbourne, 2024.</w:t>
      </w:r>
    </w:p>
    <w:p>
      <w:pPr>
        <w:pStyle w:val="ResumeBullet"/>
      </w:pPr>
      <w:r>
        <w:t>Seminar: “Measuring rural employment guarantees”, Working Paper Series, Centre for Policy Research, Berlin, 2024.</w:t>
      </w:r>
    </w:p>
    <w:p>
      <w:pPr>
        <w:pStyle w:val="ResumeBullet"/>
      </w:pPr>
      <w:r>
        <w:t>Contributed talk: “Designing for microfinance and household resilience”, Working Paper Series, Centre for Policy Research, London, 2023.</w:t>
      </w:r>
    </w:p>
    <w:p>
      <w:pPr>
        <w:pStyle w:val="ResumeBullet"/>
      </w:pPr>
      <w:r>
        <w:t>Poster: “Designing for school meals and attendance”, Working Paper Series, Centre for Policy Research, Singapore, 2023.</w:t>
      </w:r>
    </w:p>
    <w:p>
      <w:pPr>
        <w:pStyle w:val="ResumeBullet"/>
      </w:pPr>
      <w:r>
        <w:t>Poster: “Revisiting rural employment guarantees”, Economic Policy Letters, Kyoto, 2022.</w:t>
      </w:r>
    </w:p>
    <w:p>
      <w:pPr>
        <w:pStyle w:val="ResumeBullet"/>
      </w:pPr>
      <w:r>
        <w:t>Keynote: “New approaches to digital payments and small firms”, Review of Labour and Markets, London, 2022.</w:t>
      </w:r>
    </w:p>
    <w:p>
      <w:pPr>
        <w:pStyle w:val="SectionHeading"/>
        <w:pBdr>
          <w:top w:val="single" w:sz="6" w:space="2" w:color="1E3A8A"/>
          <w:left w:val="single" w:sz="6" w:space="4" w:color="1E3A8A"/>
          <w:bottom w:val="single" w:sz="6" w:space="2" w:color="1E3A8A"/>
          <w:right w:val="single" w:sz="6" w:space="4" w:color="1E3A8A"/>
        </w:pBdr>
        <w:ind w:left="57" w:right="57"/>
      </w:pPr>
      <w:r>
        <w:t>Teaching</w:t>
      </w:r>
    </w:p>
    <w:p>
      <w:pPr>
        <w:pStyle w:val="ResumeBullet"/>
      </w:pPr>
      <w:r>
        <w:t>Graduate: Development Economics, Econometrics II, Field Experiments</w:t>
      </w:r>
    </w:p>
    <w:p>
      <w:pPr>
        <w:pStyle w:val="ResumeBullet"/>
      </w:pPr>
      <w:r>
        <w:t>Undergraduate: Principles of Economics, Indian Economy</w:t>
      </w:r>
    </w:p>
    <w:p>
      <w:pPr>
        <w:pStyle w:val="ResumeBullet"/>
      </w:pPr>
      <w:r>
        <w:t>Supervised 14 Ph.D. students to completion; 6 now in academic posts</w:t>
      </w:r>
    </w:p>
    <w:p>
      <w:pPr>
        <w:pStyle w:val="SectionHeading"/>
        <w:pBdr>
          <w:top w:val="single" w:sz="6" w:space="2" w:color="1E3A8A"/>
          <w:left w:val="single" w:sz="6" w:space="4" w:color="1E3A8A"/>
          <w:bottom w:val="single" w:sz="6" w:space="2" w:color="1E3A8A"/>
          <w:right w:val="single" w:sz="6" w:space="4" w:color="1E3A8A"/>
        </w:pBdr>
        <w:ind w:left="57" w:right="57"/>
      </w:pPr>
      <w:r>
        <w:t>Grants, Awards &amp; Honours</w:t>
      </w:r>
    </w:p>
    <w:p>
      <w:pPr>
        <w:pStyle w:val="ResumeBullet"/>
      </w:pPr>
      <w:r>
        <w:t>Principal Investigator, national social science council grant (2022–2025), ₹2.8 crore</w:t>
      </w:r>
    </w:p>
    <w:p>
      <w:pPr>
        <w:pStyle w:val="ResumeBullet"/>
      </w:pPr>
      <w:r>
        <w:t>Co-PI, international development foundation evaluation (2019–2022), USD 1.1M</w:t>
      </w:r>
    </w:p>
    <w:p>
      <w:pPr>
        <w:pStyle w:val="ResumeBullet"/>
      </w:pPr>
      <w:r>
        <w:t>Best Paper Prize, Annual Conference on Development Economics (2015)</w:t>
      </w:r>
    </w:p>
    <w:p>
      <w:pPr>
        <w:pStyle w:val="ResumeBullet"/>
      </w:pPr>
      <w:r>
        <w:t>Fellow, national academy of social sciences (2021)</w:t>
      </w:r>
    </w:p>
    <w:p>
      <w:pPr>
        <w:pStyle w:val="SectionHeading"/>
        <w:pBdr>
          <w:top w:val="single" w:sz="6" w:space="2" w:color="1E3A8A"/>
          <w:left w:val="single" w:sz="6" w:space="4" w:color="1E3A8A"/>
          <w:bottom w:val="single" w:sz="6" w:space="2" w:color="1E3A8A"/>
          <w:right w:val="single" w:sz="6" w:space="4" w:color="1E3A8A"/>
        </w:pBdr>
        <w:ind w:left="57" w:right="57"/>
      </w:pPr>
      <w:r>
        <w:t>Professional Service</w:t>
      </w:r>
    </w:p>
    <w:p>
      <w:pPr>
        <w:pStyle w:val="ResumeBullet"/>
      </w:pPr>
      <w:r>
        <w:t>Member, state expert committee on financial inclusion (2020–2023)</w:t>
      </w:r>
    </w:p>
    <w:p>
      <w:pPr>
        <w:pStyle w:val="ResumeBullet"/>
      </w:pPr>
      <w:r>
        <w:t>Associate Editor, Journal of Development Studies Review (2018–present)</w:t>
      </w:r>
    </w:p>
    <w:p>
      <w:pPr>
        <w:pStyle w:val="ResumeBullet"/>
      </w:pPr>
      <w:r>
        <w:t>Programme committee, Annual Conference on Development Economics</w:t>
      </w:r>
    </w:p>
    <w:p>
      <w:pPr>
        <w:pStyle w:val="SectionHeading"/>
        <w:pBdr>
          <w:top w:val="single" w:sz="6" w:space="2" w:color="1E3A8A"/>
          <w:left w:val="single" w:sz="6" w:space="4" w:color="1E3A8A"/>
          <w:bottom w:val="single" w:sz="6" w:space="2" w:color="1E3A8A"/>
          <w:right w:val="single" w:sz="6" w:space="4" w:color="1E3A8A"/>
        </w:pBdr>
        <w:ind w:left="57" w:right="57"/>
      </w:pPr>
      <w:r>
        <w:t>Skills</w:t>
      </w:r>
    </w:p>
    <w:p>
      <w:pPr>
        <w:pStyle w:val="BodyText"/>
        <w:ind w:left="1531" w:right="0"/>
      </w:pPr>
      <w:r>
        <w:rPr>
          <w:b/>
          <w:bCs/>
        </w:rPr>
        <w:t xml:space="preserve">Methods: </w:t>
      </w:r>
      <w:r>
        <w:t>Randomised evaluations, panel econometrics, survey design</w:t>
      </w:r>
    </w:p>
    <w:p>
      <w:pPr>
        <w:pStyle w:val="BodyText"/>
        <w:ind w:left="1531" w:right="0"/>
      </w:pPr>
      <w:r>
        <w:rPr>
          <w:b/>
          <w:bCs/>
        </w:rPr>
        <w:t xml:space="preserve">Software: </w:t>
      </w:r>
      <w:r>
        <w:t>Stata, R, SurveyCTO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English, Tamil (native), Hindi</w:t>
      </w:r>
    </w:p>
    <w:p>
      <w:pPr>
        <w:pStyle w:val="SectionHeading"/>
        <w:pBdr>
          <w:top w:val="single" w:sz="6" w:space="2" w:color="1E3A8A"/>
          <w:left w:val="single" w:sz="6" w:space="4" w:color="1E3A8A"/>
          <w:bottom w:val="single" w:sz="6" w:space="2" w:color="1E3A8A"/>
          <w:right w:val="single" w:sz="6" w:space="4" w:color="1E3A8A"/>
        </w:pBdr>
        <w:ind w:left="57" w:right="57"/>
      </w:pPr>
      <w:r>
        <w:t>References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Prof. A. Delacroix</w:t>
      </w:r>
    </w:p>
    <w:p>
      <w:pPr>
        <w:pStyle w:val="BodyText"/>
        <w:keepNext/>
        <w:spacing w:after="0"/>
        <w:ind w:left="1531" w:right="0"/>
      </w:pPr>
      <w:r>
        <w:t>Professor of Economics, Whitmore College</w:t>
      </w:r>
    </w:p>
    <w:p>
      <w:pPr>
        <w:pStyle w:val="BodyText"/>
        <w:spacing w:after="100"/>
        <w:ind w:left="1531" w:right="0"/>
      </w:pPr>
      <w:r>
        <w:t>a.delacroix@university.edu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Prof. K. Mensah</w:t>
      </w:r>
    </w:p>
    <w:p>
      <w:pPr>
        <w:pStyle w:val="BodyText"/>
        <w:keepNext/>
        <w:spacing w:after="0"/>
        <w:ind w:left="1531" w:right="0"/>
      </w:pPr>
      <w:r>
        <w:t>Professor of Economics, Carlisle University</w:t>
      </w:r>
    </w:p>
    <w:p>
      <w:pPr>
        <w:pStyle w:val="BodyText"/>
        <w:spacing w:after="100"/>
        <w:ind w:left="1531" w:right="0"/>
      </w:pPr>
      <w:r>
        <w:t>k.mensah@university.edu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Dr. R. Gupta</w:t>
      </w:r>
    </w:p>
    <w:p>
      <w:pPr>
        <w:pStyle w:val="BodyText"/>
        <w:keepNext/>
        <w:spacing w:after="0"/>
        <w:ind w:left="1531" w:right="0"/>
      </w:pPr>
      <w:r>
        <w:t>Senior Fellow, Centre for Policy Research</w:t>
      </w:r>
    </w:p>
    <w:p>
      <w:pPr>
        <w:pStyle w:val="BodyText"/>
        <w:spacing w:after="100"/>
        <w:ind w:left="1531" w:right="0"/>
      </w:pPr>
      <w:r>
        <w:t>r.gupta@think.example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M Sans" w:hAnsi="DM Sans" w:eastAsia="DM Sans" w:cs="DM Sans"/>
        <w:color w:val="888888"/>
        <w:sz w:val="16"/>
        <w:szCs w:val="16"/>
      </w:rPr>
      <w:t xml:space="preserve">Page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PAGE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  <w:r>
      <w:rPr>
        <w:rFonts w:ascii="DM Sans" w:hAnsi="DM Sans" w:eastAsia="DM Sans" w:cs="DM Sans"/>
        <w:color w:val="888888"/>
        <w:sz w:val="16"/>
        <w:szCs w:val="16"/>
      </w:rPr>
      <w:t xml:space="preserve"> of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NUMPAGES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M Sans" w:hAnsi="DM Sans" w:eastAsia="DM Sans" w:cs="DM Sans"/>
        <w:color w:val="888888"/>
        <w:sz w:val="16"/>
        <w:szCs w:val="16"/>
      </w:rPr>
      <w:t xml:space="preserve">Page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PAGE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  <w:r>
      <w:rPr>
        <w:rFonts w:ascii="DM Sans" w:hAnsi="DM Sans" w:eastAsia="DM Sans" w:cs="DM Sans"/>
        <w:color w:val="888888"/>
        <w:sz w:val="16"/>
        <w:szCs w:val="16"/>
      </w:rPr>
      <w:t xml:space="preserve"> of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NUMPAGES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Prof. Meenakshi Sundaram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›"/>
      <w:lvlJc w:val="left"/>
      <w:pPr>
        <w:ind w:left="1814" w:hanging="227"/>
      </w:pPr>
      <w:rPr>
        <w:rFonts w:ascii="Arial" w:hAnsi="Arial" w:cs="Arial" w:hint="default"/>
        <w:color w:val="1E3A8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DM Sans" w:hAnsi="DM Sans" w:eastAsia="DM Sans" w:cs="Mukta"/>
      <w:color w:val="1E1E1E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DM Sans" w:hAnsi="DM Sans" w:eastAsia="DM Sans" w:cs="Mukta"/>
      <w:b w:val="0"/>
      <w:i w:val="0"/>
      <w:caps w:val="0"/>
      <w:smallCaps w:val="0"/>
      <w:color w:val="1E1E1E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Syne" w:hAnsi="Syne" w:eastAsia="Syne" w:cs="Mukta"/>
      <w:b/>
      <w:bCs/>
      <w:i w:val="0"/>
      <w:caps/>
      <w:smallCaps w:val="0"/>
      <w:color w:val="FFFFFF"/>
      <w:spacing w:val="4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DM Sans" w:hAnsi="DM Sans" w:eastAsia="DM Sans" w:cs="Mukta"/>
      <w:b w:val="0"/>
      <w:i w:val="0"/>
      <w:caps w:val="0"/>
      <w:smallCaps w:val="0"/>
      <w:color w:val="E5E7EB"/>
      <w:sz w:val="20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DM Sans" w:hAnsi="DM Sans" w:eastAsia="DM Sans" w:cs="Mukta"/>
      <w:b w:val="0"/>
      <w:i w:val="0"/>
      <w:caps w:val="0"/>
      <w:smallCaps w:val="0"/>
      <w:color w:val="E5E7EB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Syne" w:hAnsi="Syne" w:eastAsia="Syne" w:cs="Mukta"/>
      <w:b/>
      <w:bCs/>
      <w:i w:val="0"/>
      <w:caps/>
      <w:smallCaps w:val="0"/>
      <w:color w:val="1E3A8A"/>
      <w:spacing w:val="28"/>
      <w:sz w:val="21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DM Sans" w:hAnsi="DM Sans" w:eastAsia="DM Sans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DM Sans" w:hAnsi="DM Sans" w:eastAsia="DM Sans" w:cs="Mukta"/>
      <w:b/>
      <w:bCs/>
      <w:i w:val="0"/>
      <w:caps w:val="0"/>
      <w:smallCaps w:val="0"/>
      <w:color w:val="1E1E1E"/>
      <w:sz w:val="18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DM Sans" w:hAnsi="DM Sans" w:eastAsia="DM Sans" w:cs="Mukta"/>
      <w:b w:val="0"/>
      <w:i/>
      <w:caps w:val="0"/>
      <w:smallCaps w:val="0"/>
      <w:color w:val="444444"/>
      <w:sz w:val="18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DM Sans" w:hAnsi="DM Sans" w:eastAsia="DM Sans" w:cs="Mukta"/>
      <w:b w:val="0"/>
      <w:i w:val="0"/>
      <w:caps w:val="0"/>
      <w:smallCaps w:val="0"/>
      <w:color w:val="1E1E1E"/>
      <w:sz w:val="17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DM Sans" w:hAnsi="DM Sans" w:eastAsia="DM Sans" w:cs="Mukta"/>
      <w:b w:val="0"/>
      <w:i w:val="0"/>
      <w:caps w:val="0"/>
      <w:smallCaps w:val="0"/>
      <w:color w:val="1E1E1E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Dark Banner · Boxed Headings — Professor (Economics)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