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Pooja Deshmukh</w:t>
      </w:r>
    </w:p>
    <w:p>
      <w:pPr>
        <w:pStyle w:val="Role"/>
      </w:pPr>
      <w:r>
        <w:t>Lead Design Engineer, Electric Vehicles</w:t>
      </w:r>
    </w:p>
    <w:p>
      <w:pPr>
        <w:pStyle w:val="Contact"/>
      </w:pPr>
      <w:r>
        <w:t>Pune, India</w:t>
      </w:r>
      <w:r>
        <w:rPr>
          <w:color w:val="B42318"/>
        </w:rPr>
        <w:t xml:space="preserve">   |   </w:t>
      </w:r>
      <w:r>
        <w:t>+91 98230 45678</w:t>
      </w:r>
      <w:r>
        <w:rPr>
          <w:color w:val="B42318"/>
        </w:rPr>
        <w:t xml:space="preserve">   |   </w:t>
      </w:r>
      <w:r>
        <w:t>pooja.deshmukh@email.com</w:t>
      </w:r>
      <w:r>
        <w:rPr>
          <w:color w:val="B42318"/>
        </w:rPr>
        <w:t xml:space="preserve">   |   </w:t>
      </w:r>
      <w:r>
        <w:t>linkedin.com/in/poojadeshmukh</w:t>
      </w:r>
    </w:p>
    <w:p>
      <w:pPr>
        <w:pStyle w:val="SectionHeading"/>
        <w:shd w:val="clear" w:color="auto" w:fill="F1F5F9"/>
        <w:ind w:left="85"/>
      </w:pPr>
      <w:r>
        <w:t>Profile</w:t>
      </w:r>
    </w:p>
    <w:p>
      <w:pPr>
        <w:pStyle w:val="Summary"/>
      </w:pPr>
      <w:r>
        <w:t>Mechanical engineer with 9 years in automotive design, specialising in battery enclosures and thermal systems for electric two- and three-wheelers. Took four vehicle programmes from concept to start of production.</w:t>
      </w:r>
    </w:p>
    <w:p>
      <w:pPr>
        <w:pStyle w:val="SectionHeading"/>
        <w:shd w:val="clear" w:color="auto" w:fill="F1F5F9"/>
        <w:ind w:left="85"/>
      </w:pPr>
      <w:r>
        <w:t>Professional Experience</w:t>
      </w:r>
    </w:p>
    <w:p>
      <w:pPr>
        <w:pStyle w:val="EntryTitle"/>
      </w:pPr>
      <w:r>
        <w:t>Lead Design Engineer</w:t>
      </w:r>
      <w:r>
        <w:rPr>
          <w:b w:val="0"/>
          <w:i/>
          <w:color w:val="B42318"/>
          <w:sz w:val="17"/>
          <w:szCs w:val="18"/>
        </w:rPr>
        <w:t xml:space="preserve">  ·  2021 – Present</w:t>
      </w:r>
    </w:p>
    <w:p>
      <w:pPr>
        <w:pStyle w:val="EntryMeta"/>
      </w:pPr>
      <w:r>
        <w:t>VoltaRide Mobility</w:t>
      </w:r>
    </w:p>
    <w:p>
      <w:pPr>
        <w:pStyle w:val="ResumeBullet"/>
      </w:pPr>
      <w:r>
        <w:t>Lead a 14-member team designing battery packs for three scooter platforms (2.2–4 kWh).</w:t>
      </w:r>
    </w:p>
    <w:p>
      <w:pPr>
        <w:pStyle w:val="ResumeBullet"/>
      </w:pPr>
      <w:r>
        <w:t>Cut pack weight by 11% and cost by 9% with a die-cast enclosure and shared cell modules.</w:t>
      </w:r>
    </w:p>
    <w:p>
      <w:pPr>
        <w:pStyle w:val="ResumeBullet"/>
      </w:pPr>
      <w:r>
        <w:t>Own DFMEA, design reviews and supplier tooling sign-off for 120 parts.</w:t>
      </w:r>
    </w:p>
    <w:p>
      <w:pPr>
        <w:pStyle w:val="EntryTitle"/>
      </w:pPr>
      <w:r>
        <w:t>Senior Design Engineer</w:t>
      </w:r>
      <w:r>
        <w:rPr>
          <w:b w:val="0"/>
          <w:i/>
          <w:color w:val="B42318"/>
          <w:sz w:val="17"/>
          <w:szCs w:val="18"/>
        </w:rPr>
        <w:t xml:space="preserve">  ·  2017 – 2021</w:t>
      </w:r>
    </w:p>
    <w:p>
      <w:pPr>
        <w:pStyle w:val="EntryMeta"/>
      </w:pPr>
      <w:r>
        <w:t>Kestrel Mobility</w:t>
      </w:r>
    </w:p>
    <w:p>
      <w:pPr>
        <w:pStyle w:val="ResumeBullet"/>
      </w:pPr>
      <w:r>
        <w:t>Designed chassis and body parts for a commuter motorcycle selling 25,000 units a month.</w:t>
      </w:r>
    </w:p>
    <w:p>
      <w:pPr>
        <w:pStyle w:val="ResumeBullet"/>
      </w:pPr>
      <w:r>
        <w:t>Ran CAE correlation for durability tests; reduced prototype loops from 4 to 2.</w:t>
      </w:r>
    </w:p>
    <w:p>
      <w:pPr>
        <w:pStyle w:val="EntryTitle"/>
      </w:pPr>
      <w:r>
        <w:t>Graduate Engineer Trainee</w:t>
      </w:r>
      <w:r>
        <w:rPr>
          <w:b w:val="0"/>
          <w:i/>
          <w:color w:val="B42318"/>
          <w:sz w:val="17"/>
          <w:szCs w:val="18"/>
        </w:rPr>
        <w:t xml:space="preserve">  ·  2016 – 2017</w:t>
      </w:r>
    </w:p>
    <w:p>
      <w:pPr>
        <w:pStyle w:val="EntryMeta"/>
      </w:pPr>
      <w:r>
        <w:t>Ironclad Auto Components</w:t>
      </w:r>
    </w:p>
    <w:p>
      <w:pPr>
        <w:pStyle w:val="ResumeBullet"/>
      </w:pPr>
      <w:r>
        <w:t>Rotations across machining, quality and tool design for brake components.</w:t>
      </w:r>
    </w:p>
    <w:p>
      <w:pPr>
        <w:pStyle w:val="SectionHeading"/>
        <w:shd w:val="clear" w:color="auto" w:fill="F1F5F9"/>
        <w:ind w:left="85"/>
      </w:pPr>
      <w:r>
        <w:t>Selected Projects</w:t>
      </w:r>
    </w:p>
    <w:p>
      <w:pPr>
        <w:pStyle w:val="EntryTitle"/>
      </w:pPr>
      <w:r>
        <w:t>Liquid-cooled pack for cargo three-wheeler</w:t>
      </w:r>
      <w:r>
        <w:rPr>
          <w:b w:val="0"/>
          <w:i/>
          <w:color w:val="B42318"/>
          <w:sz w:val="17"/>
          <w:szCs w:val="18"/>
        </w:rPr>
        <w:t xml:space="preserve">  ·  2023</w:t>
      </w:r>
    </w:p>
    <w:p>
      <w:pPr>
        <w:pStyle w:val="EntryMeta"/>
      </w:pPr>
      <w:r>
        <w:t>VoltaRide Mobility</w:t>
      </w:r>
    </w:p>
    <w:p>
      <w:pPr>
        <w:pStyle w:val="ResumeBullet"/>
      </w:pPr>
      <w:r>
        <w:t>Pack passes IP67 and thermal runaway tests; range up 18% in hot-weather trials.</w:t>
      </w:r>
    </w:p>
    <w:p>
      <w:pPr>
        <w:pStyle w:val="EntryTitle"/>
      </w:pPr>
      <w:r>
        <w:t>Lightweight swing-arm</w:t>
      </w:r>
      <w:r>
        <w:rPr>
          <w:b w:val="0"/>
          <w:i/>
          <w:color w:val="B42318"/>
          <w:sz w:val="17"/>
          <w:szCs w:val="18"/>
        </w:rPr>
        <w:t xml:space="preserve">  ·  2019</w:t>
      </w:r>
    </w:p>
    <w:p>
      <w:pPr>
        <w:pStyle w:val="EntryMeta"/>
      </w:pPr>
      <w:r>
        <w:t>Kestrel Mobility</w:t>
      </w:r>
    </w:p>
    <w:p>
      <w:pPr>
        <w:pStyle w:val="ResumeBullet"/>
      </w:pPr>
      <w:r>
        <w:t>Topology-optimised aluminium design, 1.3 kg lighter, now in production.</w:t>
      </w:r>
    </w:p>
    <w:p>
      <w:pPr>
        <w:pStyle w:val="SectionHeading"/>
        <w:shd w:val="clear" w:color="auto" w:fill="F1F5F9"/>
        <w:ind w:left="85"/>
      </w:pPr>
      <w:r>
        <w:t>Patents</w:t>
      </w:r>
    </w:p>
    <w:p>
      <w:pPr>
        <w:pStyle w:val="Citation"/>
      </w:pPr>
      <w:r>
        <w:t>Deshmukh, P., &amp; Kulkarni, A. (2024). Modular battery enclosure with integrated cooling channels. Indian Patent 4xxxxx (granted).</w:t>
      </w:r>
    </w:p>
    <w:p>
      <w:pPr>
        <w:pStyle w:val="SectionHeading"/>
        <w:shd w:val="clear" w:color="auto" w:fill="F1F5F9"/>
        <w:ind w:left="85"/>
      </w:pPr>
      <w:r>
        <w:t>Publications</w:t>
      </w:r>
    </w:p>
    <w:p>
      <w:pPr>
        <w:pStyle w:val="Citation"/>
      </w:pPr>
      <w:r>
        <w:t xml:space="preserve">Iyer, M., </w:t>
      </w:r>
      <w:r>
        <w:rPr>
          <w:b/>
          <w:bCs/>
        </w:rPr>
        <w:t>Deshmukh, P.</w:t>
      </w:r>
      <w:r>
        <w:t>, &amp; Haddad, N.</w:t>
      </w:r>
      <w:r>
        <w:t xml:space="preserve"> (2026). Revisiting lightweight battery enclosures. </w:t>
      </w:r>
      <w:r>
        <w:rPr>
          <w:i/>
        </w:rPr>
        <w:t>Proceedings of the Asian Conference on Mechanical Systems</w:t>
      </w:r>
      <w:r>
        <w:t>, pp. 730–738.</w:t>
      </w:r>
    </w:p>
    <w:p>
      <w:pPr>
        <w:pStyle w:val="Citation"/>
      </w:pPr>
      <w:r/>
      <w:r>
        <w:rPr>
          <w:b/>
          <w:bCs/>
        </w:rPr>
        <w:t>Deshmukh, P.</w:t>
      </w:r>
      <w:r>
        <w:t>, Iyer, M., &amp; Menon, V.</w:t>
      </w:r>
      <w:r>
        <w:t xml:space="preserve"> (2026). Designing for lightweight battery enclosures. </w:t>
      </w:r>
      <w:r>
        <w:rPr>
          <w:i/>
        </w:rPr>
        <w:t>International Journal of Automotive Engineering Design</w:t>
      </w:r>
      <w:r>
        <w:t>, 45(8), 604–622.</w:t>
      </w:r>
    </w:p>
    <w:p>
      <w:pPr>
        <w:pStyle w:val="Citation"/>
      </w:pPr>
      <w:r>
        <w:t xml:space="preserve">Chen, L., &amp; </w:t>
      </w:r>
      <w:r>
        <w:rPr>
          <w:b/>
          <w:bCs/>
        </w:rPr>
        <w:t>Deshmukh, P.</w:t>
      </w:r>
      <w:r/>
      <w:r>
        <w:t xml:space="preserve"> (2026). Revisiting NVH reduction in two-wheelers. </w:t>
      </w:r>
      <w:r>
        <w:rPr>
          <w:i/>
        </w:rPr>
        <w:t>Journal of Thermal Systems and Manufacturing</w:t>
      </w:r>
      <w:r>
        <w:t>, 30(1), 757–774.</w:t>
      </w:r>
    </w:p>
    <w:p>
      <w:pPr>
        <w:pStyle w:val="Citation"/>
      </w:pPr>
      <w:r/>
      <w:r>
        <w:rPr>
          <w:b/>
          <w:bCs/>
        </w:rPr>
        <w:t>Deshmukh, P.</w:t>
      </w:r>
      <w:r>
        <w:t>, &amp; Mensah, K.</w:t>
      </w:r>
      <w:r>
        <w:t xml:space="preserve"> (2025). Evidence on NVH reduction in two-wheelers. </w:t>
      </w:r>
      <w:r>
        <w:rPr>
          <w:i/>
        </w:rPr>
        <w:t>International Journal of Automotive Engineering Design</w:t>
      </w:r>
      <w:r>
        <w:t>, 34(7), 548–565.</w:t>
      </w:r>
    </w:p>
    <w:p>
      <w:pPr>
        <w:pStyle w:val="Citation"/>
      </w:pPr>
      <w:r>
        <w:t xml:space="preserve">Sato, Y., Okafor, D., </w:t>
      </w:r>
      <w:r>
        <w:rPr>
          <w:b/>
          <w:bCs/>
        </w:rPr>
        <w:t>Deshmukh, P.</w:t>
      </w:r>
      <w:r>
        <w:t>, &amp; Rao, S.</w:t>
      </w:r>
      <w:r>
        <w:t xml:space="preserve"> (2025). Revisiting additive manufacturing of fixtures. </w:t>
      </w:r>
      <w:r>
        <w:rPr>
          <w:i/>
        </w:rPr>
        <w:t>Journal of Thermal Systems and Manufacturing</w:t>
      </w:r>
      <w:r>
        <w:t>, 38(6), 161–173.</w:t>
      </w:r>
    </w:p>
    <w:p>
      <w:pPr>
        <w:pStyle w:val="SectionHeading"/>
        <w:shd w:val="clear" w:color="auto" w:fill="F1F5F9"/>
        <w:ind w:left="85"/>
      </w:pPr>
      <w:r>
        <w:t>Education</w:t>
      </w:r>
    </w:p>
    <w:p>
      <w:pPr>
        <w:pStyle w:val="EntryTitle"/>
      </w:pPr>
      <w:r>
        <w:t>M.Tech., Design Engineering</w:t>
      </w:r>
      <w:r>
        <w:rPr>
          <w:b w:val="0"/>
          <w:i/>
          <w:color w:val="B42318"/>
          <w:sz w:val="17"/>
          <w:szCs w:val="18"/>
        </w:rPr>
        <w:t xml:space="preserve">  ·  2014 – 2016</w:t>
      </w:r>
    </w:p>
    <w:p>
      <w:pPr>
        <w:pStyle w:val="EntryMeta"/>
      </w:pPr>
      <w:r>
        <w:t>Northern Institute of Engineering &amp; Technology</w:t>
      </w:r>
    </w:p>
    <w:p>
      <w:pPr>
        <w:pStyle w:val="BodyText"/>
      </w:pPr>
      <w:r>
        <w:t>CGPA 8.9 / 10; Gold Medal</w:t>
      </w:r>
    </w:p>
    <w:p>
      <w:pPr>
        <w:pStyle w:val="EntryTitle"/>
      </w:pPr>
      <w:r>
        <w:t>B.E., Mechanical Engineering</w:t>
      </w:r>
      <w:r>
        <w:rPr>
          <w:b w:val="0"/>
          <w:i/>
          <w:color w:val="B42318"/>
          <w:sz w:val="17"/>
          <w:szCs w:val="18"/>
        </w:rPr>
        <w:t xml:space="preserve">  ·  2010 – 2014</w:t>
      </w:r>
    </w:p>
    <w:p>
      <w:pPr>
        <w:pStyle w:val="EntryMeta"/>
      </w:pPr>
      <w:r>
        <w:t>Sahyadri College of Engineering</w:t>
      </w:r>
    </w:p>
    <w:p>
      <w:pPr>
        <w:pStyle w:val="BodyText"/>
      </w:pPr>
      <w:r>
        <w:t>78.6%, university rank 4</w:t>
      </w:r>
    </w:p>
    <w:p>
      <w:pPr>
        <w:pStyle w:val="SectionHeading"/>
        <w:shd w:val="clear" w:color="auto" w:fill="F1F5F9"/>
        <w:ind w:left="85"/>
      </w:pPr>
      <w:r>
        <w:t>Certifications</w:t>
      </w:r>
    </w:p>
    <w:p>
      <w:pPr>
        <w:pStyle w:val="ResumeBullet"/>
      </w:pPr>
      <w:r>
        <w:t>Certified SolidWorks Professional (2018)</w:t>
      </w:r>
    </w:p>
    <w:p>
      <w:pPr>
        <w:pStyle w:val="ResumeBullet"/>
      </w:pPr>
      <w:r>
        <w:t>Six Sigma Green Belt (2019)</w:t>
      </w:r>
    </w:p>
    <w:p>
      <w:pPr>
        <w:pStyle w:val="ResumeBullet"/>
      </w:pPr>
      <w:r>
        <w:t>Functional safety for road vehicles, foundation course (2022)</w:t>
      </w:r>
    </w:p>
    <w:p>
      <w:pPr>
        <w:pStyle w:val="SectionHeading"/>
        <w:shd w:val="clear" w:color="auto" w:fill="F1F5F9"/>
        <w:ind w:left="85"/>
      </w:pPr>
      <w:r>
        <w:t>Awards &amp; Honours</w:t>
      </w:r>
    </w:p>
    <w:p>
      <w:pPr>
        <w:pStyle w:val="ResumeBullet"/>
      </w:pPr>
      <w:r>
        <w:t>Women in Engineering Award, national automotive engineers society (2023)</w:t>
      </w:r>
    </w:p>
    <w:p>
      <w:pPr>
        <w:pStyle w:val="ResumeBullet"/>
      </w:pPr>
      <w:r>
        <w:t>Best Paper, Asian Conference on Mechanical Systems (2020)</w:t>
      </w:r>
    </w:p>
    <w:p>
      <w:pPr>
        <w:pStyle w:val="SectionHeading"/>
        <w:shd w:val="clear" w:color="auto" w:fill="F1F5F9"/>
        <w:ind w:left="85"/>
      </w:pPr>
      <w:r>
        <w:t>Talks &amp; Presentations</w:t>
      </w:r>
    </w:p>
    <w:p>
      <w:pPr>
        <w:pStyle w:val="ResumeBullet"/>
      </w:pPr>
      <w:r>
        <w:t>Contributed talk: “Measuring crash simulation of composite panels”, Proceedings of the Asian Conference on Mechanical Systems, Chennai, 2026.</w:t>
      </w:r>
    </w:p>
    <w:p>
      <w:pPr>
        <w:pStyle w:val="ResumeBullet"/>
      </w:pPr>
      <w:r>
        <w:t>Keynote: “Scaling NVH reduction in two-wheelers”, Proceedings of the Symposium on Vehicle Dynamics, London, 2026.</w:t>
      </w:r>
    </w:p>
    <w:p>
      <w:pPr>
        <w:pStyle w:val="ResumeBullet"/>
      </w:pPr>
      <w:r>
        <w:t>Seminar: “Understanding lightweight battery enclosures”, International Symposium on Automotive Engineering Design, Boston, 2025.</w:t>
      </w:r>
    </w:p>
    <w:p>
      <w:pPr>
        <w:pStyle w:val="ResumeBullet"/>
      </w:pPr>
      <w:r>
        <w:t>Poster: “Evidence on lightweight battery enclosures”, Proceedings of the Symposium on Vehicle Dynamics, Berlin, 2025.</w:t>
      </w:r>
    </w:p>
    <w:p>
      <w:pPr>
        <w:pStyle w:val="SectionHeading"/>
        <w:shd w:val="clear" w:color="auto" w:fill="F1F5F9"/>
        <w:ind w:left="85"/>
      </w:pPr>
      <w:r>
        <w:t>Teaching &amp; Training</w:t>
      </w:r>
    </w:p>
    <w:p>
      <w:pPr>
        <w:pStyle w:val="ResumeBullet"/>
      </w:pPr>
      <w:r>
        <w:t>Guest lectures on EV battery design at three engineering colleges (2022–present)</w:t>
      </w:r>
    </w:p>
    <w:p>
      <w:pPr>
        <w:pStyle w:val="SectionHeading"/>
        <w:shd w:val="clear" w:color="auto" w:fill="F1F5F9"/>
        <w:ind w:left="85"/>
      </w:pPr>
      <w:r>
        <w:t>Committees &amp; Community</w:t>
      </w:r>
    </w:p>
    <w:p>
      <w:pPr>
        <w:pStyle w:val="ResumeBullet"/>
      </w:pPr>
      <w:r>
        <w:t>Judge, national student formula-car competition (2021–present)</w:t>
      </w:r>
    </w:p>
    <w:p>
      <w:pPr>
        <w:pStyle w:val="SectionHeading"/>
        <w:shd w:val="clear" w:color="auto" w:fill="F1F5F9"/>
        <w:ind w:left="85"/>
      </w:pPr>
      <w:r>
        <w:t>Skills</w:t>
      </w:r>
    </w:p>
    <w:p>
      <w:pPr>
        <w:pStyle w:val="BodyText"/>
      </w:pPr>
      <w:r>
        <w:rPr>
          <w:b/>
          <w:bCs/>
        </w:rPr>
        <w:t xml:space="preserve">Design: </w:t>
      </w:r>
      <w:r>
        <w:t>CATIA V5, SolidWorks, GD&amp;T, DFMEA, DFM/DFA</w:t>
      </w:r>
    </w:p>
    <w:p>
      <w:pPr>
        <w:pStyle w:val="BodyText"/>
      </w:pPr>
      <w:r>
        <w:rPr>
          <w:b/>
          <w:bCs/>
        </w:rPr>
        <w:t xml:space="preserve">Analysis: </w:t>
      </w:r>
      <w:r>
        <w:t>ANSYS, HyperMesh, thermal CFD, fatigue analysis</w:t>
      </w:r>
    </w:p>
    <w:p>
      <w:pPr>
        <w:pStyle w:val="BodyText"/>
      </w:pPr>
      <w:r>
        <w:rPr>
          <w:b/>
          <w:bCs/>
        </w:rPr>
        <w:t xml:space="preserve">Tools: </w:t>
      </w:r>
      <w:r>
        <w:t>Teamcenter PLM, MATLAB, Python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Marathi (native), Hindi, German (A2)</w:t>
      </w:r>
    </w:p>
    <w:p>
      <w:pPr>
        <w:pStyle w:val="SectionHeading"/>
        <w:shd w:val="clear" w:color="auto" w:fill="F1F5F9"/>
        <w:ind w:left="85"/>
      </w:pPr>
      <w:r>
        <w:t>References</w:t>
      </w:r>
    </w:p>
    <w:p>
      <w:pPr>
        <w:pStyle w:val="BodyText"/>
      </w:pPr>
      <w:r>
        <w:t>Available on request.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077" w:right="1304" w:bottom="1020" w:left="1304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Inter" w:hAnsi="Inter" w:eastAsia="Inter" w:cs="Inter"/>
        <w:color w:val="888888"/>
        <w:sz w:val="16"/>
        <w:szCs w:val="16"/>
      </w:rPr>
      <w:t xml:space="preserve">Page </w:t>
    </w:r>
    <w:r>
      <w:rPr>
        <w:rFonts w:ascii="Inter" w:hAnsi="Inter" w:eastAsia="Inter" w:cs="Inter"/>
        <w:color w:val="888888"/>
        <w:sz w:val="16"/>
        <w:szCs w:val="16"/>
      </w:rPr>
      <w:fldChar w:fldCharType="begin"/>
    </w:r>
    <w:r>
      <w:rPr>
        <w:rFonts w:ascii="Inter" w:hAnsi="Inter" w:eastAsia="Inter" w:cs="Inter"/>
        <w:color w:val="888888"/>
        <w:sz w:val="16"/>
        <w:szCs w:val="16"/>
      </w:rPr>
      <w:instrText xml:space="preserve"> PAGE </w:instrText>
    </w:r>
    <w:r>
      <w:rPr>
        <w:rFonts w:ascii="Inter" w:hAnsi="Inter" w:eastAsia="Inter" w:cs="Inter"/>
        <w:color w:val="888888"/>
        <w:sz w:val="16"/>
        <w:szCs w:val="16"/>
      </w:rPr>
      <w:fldChar w:fldCharType="separate"/>
    </w:r>
    <w:r>
      <w:rPr>
        <w:rFonts w:ascii="Inter" w:hAnsi="Inter" w:eastAsia="Inter" w:cs="Inter"/>
        <w:color w:val="888888"/>
        <w:sz w:val="16"/>
        <w:szCs w:val="16"/>
      </w:rPr>
      <w:t>1</w:t>
    </w:r>
    <w:r>
      <w:rPr>
        <w:rFonts w:ascii="Inter" w:hAnsi="Inter" w:eastAsia="Inter" w:cs="Inter"/>
        <w:color w:val="888888"/>
        <w:sz w:val="16"/>
        <w:szCs w:val="16"/>
      </w:rPr>
      <w:fldChar w:fldCharType="end"/>
    </w:r>
    <w:r>
      <w:rPr>
        <w:rFonts w:ascii="Inter" w:hAnsi="Inter" w:eastAsia="Inter" w:cs="Inter"/>
        <w:color w:val="888888"/>
        <w:sz w:val="16"/>
        <w:szCs w:val="16"/>
      </w:rPr>
      <w:t xml:space="preserve"> of </w:t>
    </w:r>
    <w:r>
      <w:rPr>
        <w:rFonts w:ascii="Inter" w:hAnsi="Inter" w:eastAsia="Inter" w:cs="Inter"/>
        <w:color w:val="888888"/>
        <w:sz w:val="16"/>
        <w:szCs w:val="16"/>
      </w:rPr>
      <w:fldChar w:fldCharType="begin"/>
    </w:r>
    <w:r>
      <w:rPr>
        <w:rFonts w:ascii="Inter" w:hAnsi="Inter" w:eastAsia="Inter" w:cs="Inter"/>
        <w:color w:val="888888"/>
        <w:sz w:val="16"/>
        <w:szCs w:val="16"/>
      </w:rPr>
      <w:instrText xml:space="preserve"> NUMPAGES </w:instrText>
    </w:r>
    <w:r>
      <w:rPr>
        <w:rFonts w:ascii="Inter" w:hAnsi="Inter" w:eastAsia="Inter" w:cs="Inter"/>
        <w:color w:val="888888"/>
        <w:sz w:val="16"/>
        <w:szCs w:val="16"/>
      </w:rPr>
      <w:fldChar w:fldCharType="separate"/>
    </w:r>
    <w:r>
      <w:rPr>
        <w:rFonts w:ascii="Inter" w:hAnsi="Inter" w:eastAsia="Inter" w:cs="Inter"/>
        <w:color w:val="888888"/>
        <w:sz w:val="16"/>
        <w:szCs w:val="16"/>
      </w:rPr>
      <w:t>1</w:t>
    </w:r>
    <w:r>
      <w:rPr>
        <w:rFonts w:ascii="Inter" w:hAnsi="Inter" w:eastAsia="Inter" w:cs="Inter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Inter" w:hAnsi="Inter" w:eastAsia="Inter" w:cs="Inter"/>
        <w:color w:val="888888"/>
        <w:sz w:val="16"/>
        <w:szCs w:val="16"/>
      </w:rPr>
      <w:t xml:space="preserve">Page </w:t>
    </w:r>
    <w:r>
      <w:rPr>
        <w:rFonts w:ascii="Inter" w:hAnsi="Inter" w:eastAsia="Inter" w:cs="Inter"/>
        <w:color w:val="888888"/>
        <w:sz w:val="16"/>
        <w:szCs w:val="16"/>
      </w:rPr>
      <w:fldChar w:fldCharType="begin"/>
    </w:r>
    <w:r>
      <w:rPr>
        <w:rFonts w:ascii="Inter" w:hAnsi="Inter" w:eastAsia="Inter" w:cs="Inter"/>
        <w:color w:val="888888"/>
        <w:sz w:val="16"/>
        <w:szCs w:val="16"/>
      </w:rPr>
      <w:instrText xml:space="preserve"> PAGE </w:instrText>
    </w:r>
    <w:r>
      <w:rPr>
        <w:rFonts w:ascii="Inter" w:hAnsi="Inter" w:eastAsia="Inter" w:cs="Inter"/>
        <w:color w:val="888888"/>
        <w:sz w:val="16"/>
        <w:szCs w:val="16"/>
      </w:rPr>
      <w:fldChar w:fldCharType="separate"/>
    </w:r>
    <w:r>
      <w:rPr>
        <w:rFonts w:ascii="Inter" w:hAnsi="Inter" w:eastAsia="Inter" w:cs="Inter"/>
        <w:color w:val="888888"/>
        <w:sz w:val="16"/>
        <w:szCs w:val="16"/>
      </w:rPr>
      <w:t>1</w:t>
    </w:r>
    <w:r>
      <w:rPr>
        <w:rFonts w:ascii="Inter" w:hAnsi="Inter" w:eastAsia="Inter" w:cs="Inter"/>
        <w:color w:val="888888"/>
        <w:sz w:val="16"/>
        <w:szCs w:val="16"/>
      </w:rPr>
      <w:fldChar w:fldCharType="end"/>
    </w:r>
    <w:r>
      <w:rPr>
        <w:rFonts w:ascii="Inter" w:hAnsi="Inter" w:eastAsia="Inter" w:cs="Inter"/>
        <w:color w:val="888888"/>
        <w:sz w:val="16"/>
        <w:szCs w:val="16"/>
      </w:rPr>
      <w:t xml:space="preserve"> of </w:t>
    </w:r>
    <w:r>
      <w:rPr>
        <w:rFonts w:ascii="Inter" w:hAnsi="Inter" w:eastAsia="Inter" w:cs="Inter"/>
        <w:color w:val="888888"/>
        <w:sz w:val="16"/>
        <w:szCs w:val="16"/>
      </w:rPr>
      <w:fldChar w:fldCharType="begin"/>
    </w:r>
    <w:r>
      <w:rPr>
        <w:rFonts w:ascii="Inter" w:hAnsi="Inter" w:eastAsia="Inter" w:cs="Inter"/>
        <w:color w:val="888888"/>
        <w:sz w:val="16"/>
        <w:szCs w:val="16"/>
      </w:rPr>
      <w:instrText xml:space="preserve"> NUMPAGES </w:instrText>
    </w:r>
    <w:r>
      <w:rPr>
        <w:rFonts w:ascii="Inter" w:hAnsi="Inter" w:eastAsia="Inter" w:cs="Inter"/>
        <w:color w:val="888888"/>
        <w:sz w:val="16"/>
        <w:szCs w:val="16"/>
      </w:rPr>
      <w:fldChar w:fldCharType="separate"/>
    </w:r>
    <w:r>
      <w:rPr>
        <w:rFonts w:ascii="Inter" w:hAnsi="Inter" w:eastAsia="Inter" w:cs="Inter"/>
        <w:color w:val="888888"/>
        <w:sz w:val="16"/>
        <w:szCs w:val="16"/>
      </w:rPr>
      <w:t>1</w:t>
    </w:r>
    <w:r>
      <w:rPr>
        <w:rFonts w:ascii="Inter" w:hAnsi="Inter" w:eastAsia="Inter" w:cs="Inter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298" w:val="right"/>
      </w:tabs>
      <w:jc w:val="left"/>
    </w:pPr>
    <w:r>
      <w:rPr>
        <w:color w:val="777777"/>
        <w:sz w:val="17"/>
        <w:szCs w:val="17"/>
      </w:rPr>
      <w:t>Pooja Deshmukh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–"/>
      <w:lvlJc w:val="left"/>
      <w:pPr>
        <w:ind w:left="283" w:hanging="227"/>
      </w:pPr>
      <w:rPr>
        <w:rFonts w:ascii="Arial" w:hAnsi="Arial" w:cs="Arial" w:hint="default"/>
        <w:color w:val="B42318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Inter" w:hAnsi="Inter" w:eastAsia="Inter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Inter" w:hAnsi="Inter" w:eastAsia="Inter" w:cs="Mukta"/>
      <w:color w:val="1E1E1E"/>
      <w:sz w:val="18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Inter" w:hAnsi="Inter" w:eastAsia="Inter" w:cs="Mukta"/>
      <w:b w:val="0"/>
      <w:i w:val="0"/>
      <w:caps w:val="0"/>
      <w:smallCaps w:val="0"/>
      <w:color w:val="1E1E1E"/>
      <w:sz w:val="18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Poppins" w:hAnsi="Poppins" w:eastAsia="Poppins" w:cs="Mukta"/>
      <w:b/>
      <w:bCs/>
      <w:i w:val="0"/>
      <w:caps w:val="0"/>
      <w:smallCaps w:val="0"/>
      <w:color w:val="1E1E1E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Inter" w:hAnsi="Inter" w:eastAsia="Inter" w:cs="Mukta"/>
      <w:b w:val="0"/>
      <w:i w:val="0"/>
      <w:caps w:val="0"/>
      <w:smallCaps w:val="0"/>
      <w:color w:val="1E1E1E"/>
      <w:sz w:val="20"/>
      <w:szCs w:val="21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Inter" w:hAnsi="Inter" w:eastAsia="Inter" w:cs="Mukta"/>
      <w:b w:val="0"/>
      <w:i w:val="0"/>
      <w:caps w:val="0"/>
      <w:smallCaps w:val="0"/>
      <w:color w:val="555555"/>
      <w:sz w:val="16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Poppins" w:hAnsi="Poppins" w:eastAsia="Poppins" w:cs="Mukta"/>
      <w:b/>
      <w:bCs/>
      <w:i w:val="0"/>
      <w:caps/>
      <w:smallCaps w:val="0"/>
      <w:color w:val="B42318"/>
      <w:spacing w:val="28"/>
      <w:sz w:val="21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Inter" w:hAnsi="Inter" w:eastAsia="Inter" w:cs="Mukta"/>
      <w:b w:val="0"/>
      <w:i w:val="0"/>
      <w:caps w:val="0"/>
      <w:smallCaps w:val="0"/>
      <w:color w:val="1E1E1E"/>
      <w:sz w:val="18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Inter" w:hAnsi="Inter" w:eastAsia="Inter" w:cs="Mukta"/>
      <w:b/>
      <w:bCs/>
      <w:i w:val="0"/>
      <w:caps w:val="0"/>
      <w:smallCaps w:val="0"/>
      <w:color w:val="1E1E1E"/>
      <w:sz w:val="18"/>
      <w:szCs w:val="19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Inter" w:hAnsi="Inter" w:eastAsia="Inter" w:cs="Mukta"/>
      <w:b w:val="0"/>
      <w:i/>
      <w:caps w:val="0"/>
      <w:smallCaps w:val="0"/>
      <w:color w:val="444444"/>
      <w:sz w:val="18"/>
      <w:szCs w:val="19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Inter" w:hAnsi="Inter" w:eastAsia="Inter" w:cs="Mukta"/>
      <w:b w:val="0"/>
      <w:i w:val="0"/>
      <w:caps w:val="0"/>
      <w:smallCaps w:val="0"/>
      <w:color w:val="1E1E1E"/>
      <w:sz w:val="17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Inter" w:hAnsi="Inter" w:eastAsia="Inter" w:cs="Mukta"/>
      <w:b w:val="0"/>
      <w:i w:val="0"/>
      <w:caps w:val="0"/>
      <w:smallCaps w:val="0"/>
      <w:color w:val="1E1E1E"/>
      <w:sz w:val="18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Left Masthead · Shaded Bands — Design Engineer (EV)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