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Nandini Joshi</w:t>
      </w:r>
    </w:p>
    <w:p>
      <w:pPr>
        <w:pStyle w:val="Role"/>
      </w:pPr>
      <w:r>
        <w:t>Public Health Researcher, Epidemiology</w:t>
      </w:r>
    </w:p>
    <w:p>
      <w:pPr>
        <w:pStyle w:val="Contact"/>
      </w:pPr>
      <w:r>
        <w:t>Jaipur, India</w:t>
      </w:r>
      <w:r>
        <w:rPr>
          <w:color w:val="3730A3"/>
        </w:rPr>
        <w:t xml:space="preserve">   |   </w:t>
      </w:r>
      <w:r>
        <w:t>+91 94140 33445</w:t>
      </w:r>
      <w:r>
        <w:rPr>
          <w:color w:val="3730A3"/>
        </w:rPr>
        <w:t xml:space="preserve">   |   </w:t>
      </w:r>
      <w:r>
        <w:t>nandini.joshi@institute.edu</w:t>
      </w:r>
      <w:r>
        <w:rPr>
          <w:color w:val="3730A3"/>
        </w:rPr>
        <w:t xml:space="preserve">   |   </w:t>
      </w:r>
      <w:r>
        <w:t>nandinijoshi.org</w:t>
      </w:r>
    </w:p>
    <w:p>
      <w:pPr>
        <w:pStyle w:val="SectionHeading"/>
        <w:pBdr>
          <w:bottom w:val="double" w:sz="6" w:space="2" w:color="3730A3"/>
        </w:pBdr>
      </w:pPr>
      <w:r>
        <w:t>Profile</w:t>
      </w:r>
    </w:p>
    <w:p>
      <w:pPr>
        <w:pStyle w:val="Summary"/>
      </w:pPr>
      <w:r>
        <w:t>Epidemiologist designing and evaluating community health programmes for women and children. Experience across field trials, health-system research and policy translation in four Indian states.</w:t>
      </w:r>
    </w:p>
    <w:p>
      <w:pPr>
        <w:pStyle w:val="SectionHeading"/>
        <w:pBdr>
          <w:bottom w:val="double" w:sz="6" w:space="2" w:color="3730A3"/>
        </w:pBdr>
      </w:pPr>
      <w:r>
        <w:t>Education</w:t>
      </w:r>
    </w:p>
    <w:p>
      <w:pPr>
        <w:pStyle w:val="EntryTitle"/>
        <w:tabs>
          <w:tab w:pos="9524" w:val="right"/>
        </w:tabs>
      </w:pPr>
      <w:r>
        <w:t>Ph.D., Epidemiology</w:t>
      </w:r>
      <w:r>
        <w:tab/>
      </w:r>
      <w:r>
        <w:rPr>
          <w:b w:val="0"/>
          <w:i w:val="0"/>
          <w:color w:val="555555"/>
        </w:rPr>
        <w:t>2014 – 2019</w:t>
      </w:r>
    </w:p>
    <w:p>
      <w:pPr>
        <w:pStyle w:val="EntryMeta"/>
      </w:pPr>
      <w:r>
        <w:t>Hollins School of Public Health</w:t>
      </w:r>
    </w:p>
    <w:p>
      <w:pPr>
        <w:pStyle w:val="BodyText"/>
      </w:pPr>
      <w:r>
        <w:t>Dissertation: Community approaches to childhood anaemia</w:t>
      </w:r>
    </w:p>
    <w:p>
      <w:pPr>
        <w:pStyle w:val="EntryTitle"/>
        <w:tabs>
          <w:tab w:pos="9524" w:val="right"/>
        </w:tabs>
      </w:pPr>
      <w:r>
        <w:t>M.P.H.</w:t>
      </w:r>
      <w:r>
        <w:tab/>
      </w:r>
      <w:r>
        <w:rPr>
          <w:b w:val="0"/>
          <w:i w:val="0"/>
          <w:color w:val="555555"/>
        </w:rPr>
        <w:t>2011 – 2013</w:t>
      </w:r>
    </w:p>
    <w:p>
      <w:pPr>
        <w:pStyle w:val="EntryMeta"/>
      </w:pPr>
      <w:r>
        <w:t>Coromandel Institute of Public Health</w:t>
      </w:r>
    </w:p>
    <w:p>
      <w:pPr>
        <w:pStyle w:val="EntryTitle"/>
        <w:tabs>
          <w:tab w:pos="9524" w:val="right"/>
        </w:tabs>
      </w:pPr>
      <w:r>
        <w:t>MBBS</w:t>
      </w:r>
      <w:r>
        <w:tab/>
      </w:r>
      <w:r>
        <w:rPr>
          <w:b w:val="0"/>
          <w:i w:val="0"/>
          <w:color w:val="555555"/>
        </w:rPr>
        <w:t>2005 – 2010</w:t>
      </w:r>
    </w:p>
    <w:p>
      <w:pPr>
        <w:pStyle w:val="EntryMeta"/>
      </w:pPr>
      <w:r>
        <w:t>Coromandel Medical College</w:t>
      </w:r>
    </w:p>
    <w:p>
      <w:pPr>
        <w:pStyle w:val="SectionHeading"/>
        <w:pBdr>
          <w:bottom w:val="double" w:sz="6" w:space="2" w:color="3730A3"/>
        </w:pBdr>
      </w:pPr>
      <w:r>
        <w:t>Research Experience</w:t>
      </w:r>
    </w:p>
    <w:p>
      <w:pPr>
        <w:pStyle w:val="EntryTitle"/>
        <w:tabs>
          <w:tab w:pos="9524" w:val="right"/>
        </w:tabs>
      </w:pPr>
      <w:r>
        <w:t>Senior Research Scientist</w:t>
      </w:r>
      <w:r>
        <w:tab/>
      </w:r>
      <w:r>
        <w:rPr>
          <w:b w:val="0"/>
          <w:i w:val="0"/>
          <w:color w:val="555555"/>
        </w:rPr>
        <w:t>2020 – Present</w:t>
      </w:r>
    </w:p>
    <w:p>
      <w:pPr>
        <w:pStyle w:val="EntryMeta"/>
      </w:pPr>
      <w:r>
        <w:t>Institute for Health Systems Research</w:t>
      </w:r>
    </w:p>
    <w:p>
      <w:pPr>
        <w:pStyle w:val="ResumeBullet"/>
      </w:pPr>
      <w:r>
        <w:t>PI of a cluster-randomised trial across 120 villages on iron supplementation delivery.</w:t>
      </w:r>
    </w:p>
    <w:p>
      <w:pPr>
        <w:pStyle w:val="ResumeBullet"/>
      </w:pPr>
      <w:r>
        <w:t>Lead a team of 25 field staff and 4 analysts.</w:t>
      </w:r>
    </w:p>
    <w:p>
      <w:pPr>
        <w:pStyle w:val="EntryTitle"/>
        <w:tabs>
          <w:tab w:pos="9524" w:val="right"/>
        </w:tabs>
      </w:pPr>
      <w:r>
        <w:t>Postdoctoral Fellow</w:t>
      </w:r>
      <w:r>
        <w:tab/>
      </w:r>
      <w:r>
        <w:rPr>
          <w:b w:val="0"/>
          <w:i w:val="0"/>
          <w:color w:val="555555"/>
        </w:rPr>
        <w:t>2019 – 2020</w:t>
      </w:r>
    </w:p>
    <w:p>
      <w:pPr>
        <w:pStyle w:val="EntryMeta"/>
      </w:pPr>
      <w:r>
        <w:t>Hollins School of Public Health</w:t>
      </w:r>
    </w:p>
    <w:p>
      <w:pPr>
        <w:pStyle w:val="ResumeBullet"/>
      </w:pPr>
      <w:r>
        <w:t>Analysed national survey data on maternal nutrition.</w:t>
      </w:r>
    </w:p>
    <w:p>
      <w:pPr>
        <w:pStyle w:val="EntryTitle"/>
        <w:tabs>
          <w:tab w:pos="9524" w:val="right"/>
        </w:tabs>
      </w:pPr>
      <w:r>
        <w:t>Medical Officer</w:t>
      </w:r>
      <w:r>
        <w:tab/>
      </w:r>
      <w:r>
        <w:rPr>
          <w:b w:val="0"/>
          <w:i w:val="0"/>
          <w:color w:val="555555"/>
        </w:rPr>
        <w:t>2010 – 2011</w:t>
      </w:r>
    </w:p>
    <w:p>
      <w:pPr>
        <w:pStyle w:val="EntryMeta"/>
      </w:pPr>
      <w:r>
        <w:t>Primary Health Centre, Rajasthan</w:t>
      </w:r>
    </w:p>
    <w:p>
      <w:pPr>
        <w:pStyle w:val="ResumeBullet"/>
      </w:pPr>
      <w:r>
        <w:t>Ran outpatient clinics and immunisation drives for 30 villages.</w:t>
      </w:r>
    </w:p>
    <w:p>
      <w:pPr>
        <w:pStyle w:val="SectionHeading"/>
        <w:pBdr>
          <w:bottom w:val="double" w:sz="6" w:space="2" w:color="3730A3"/>
        </w:pBdr>
      </w:pPr>
      <w:r>
        <w:t>Publications</w:t>
      </w:r>
    </w:p>
    <w:p>
      <w:pPr>
        <w:pStyle w:val="Citation"/>
      </w:pPr>
      <w:r/>
      <w:r>
        <w:rPr>
          <w:b/>
          <w:bCs/>
        </w:rPr>
        <w:t>Joshi, N.</w:t>
      </w:r>
      <w:r>
        <w:t>, Rao, S., &amp; Fischer, A.</w:t>
      </w:r>
      <w:r>
        <w:t xml:space="preserve"> (2026). Revisiting vaccine hesitancy. </w:t>
      </w:r>
      <w:r>
        <w:rPr>
          <w:i/>
        </w:rPr>
        <w:t>International Conference on Health Systems</w:t>
      </w:r>
      <w:r>
        <w:t>, pp. 286–298.</w:t>
      </w:r>
    </w:p>
    <w:p>
      <w:pPr>
        <w:pStyle w:val="Citation"/>
      </w:pPr>
      <w:r/>
      <w:r>
        <w:rPr>
          <w:b/>
          <w:bCs/>
        </w:rPr>
        <w:t>Joshi, N.</w:t>
      </w:r>
      <w:r>
        <w:t>, &amp; Rao, S.</w:t>
      </w:r>
      <w:r>
        <w:t xml:space="preserve"> (2026). Designing for vaccine hesitancy. </w:t>
      </w:r>
      <w:r>
        <w:rPr>
          <w:i/>
        </w:rPr>
        <w:t>Tropical Health Review</w:t>
      </w:r>
      <w:r>
        <w:t>, 42(3), 142–163.</w:t>
      </w:r>
    </w:p>
    <w:p>
      <w:pPr>
        <w:pStyle w:val="Citation"/>
      </w:pPr>
      <w:r>
        <w:t xml:space="preserve">Chen, L., Banerjee, P., &amp; </w:t>
      </w:r>
      <w:r>
        <w:rPr>
          <w:b/>
          <w:bCs/>
        </w:rPr>
        <w:t>Joshi, N.</w:t>
      </w:r>
      <w:r/>
      <w:r>
        <w:t xml:space="preserve"> (2026). Measuring vaccine hesitancy. </w:t>
      </w:r>
      <w:r>
        <w:rPr>
          <w:i/>
        </w:rPr>
        <w:t>Epidemiology Methods Letters</w:t>
      </w:r>
      <w:r>
        <w:t>, 13(1), 656–672.</w:t>
      </w:r>
    </w:p>
    <w:p>
      <w:pPr>
        <w:pStyle w:val="Citation"/>
      </w:pPr>
      <w:r>
        <w:t xml:space="preserve">Chen, L., Rao, S., &amp; </w:t>
      </w:r>
      <w:r>
        <w:rPr>
          <w:b/>
          <w:bCs/>
        </w:rPr>
        <w:t>Joshi, N.</w:t>
      </w:r>
      <w:r/>
      <w:r>
        <w:t xml:space="preserve"> (2025). New approaches to vaccine hesitancy. </w:t>
      </w:r>
      <w:r>
        <w:rPr>
          <w:i/>
        </w:rPr>
        <w:t>Journal of Global Public Health Practice</w:t>
      </w:r>
      <w:r>
        <w:t>, 29(11), 444–463.</w:t>
      </w:r>
    </w:p>
    <w:p>
      <w:pPr>
        <w:pStyle w:val="Citation"/>
      </w:pPr>
      <w:r/>
      <w:r>
        <w:rPr>
          <w:b/>
          <w:bCs/>
        </w:rPr>
        <w:t>Joshi, N.</w:t>
      </w:r>
      <w:r>
        <w:t>, &amp; Haddad, N.</w:t>
      </w:r>
      <w:r>
        <w:t xml:space="preserve"> (2025). A study of childhood anaemia interventions. </w:t>
      </w:r>
      <w:r>
        <w:rPr>
          <w:i/>
        </w:rPr>
        <w:t>Tropical Health Review</w:t>
      </w:r>
      <w:r>
        <w:t>, 41(4), 621–629.</w:t>
      </w:r>
    </w:p>
    <w:p>
      <w:pPr>
        <w:pStyle w:val="Citation"/>
      </w:pPr>
      <w:r>
        <w:t xml:space="preserve">Fischer, A., </w:t>
      </w:r>
      <w:r>
        <w:rPr>
          <w:b/>
          <w:bCs/>
        </w:rPr>
        <w:t>Joshi, N.</w:t>
      </w:r>
      <w:r>
        <w:t>, &amp; Okafor, D.</w:t>
      </w:r>
      <w:r>
        <w:t xml:space="preserve"> (2025). Rethinking maternal nutrition supplements. </w:t>
      </w:r>
      <w:r>
        <w:rPr>
          <w:i/>
        </w:rPr>
        <w:t>International Conference on Health Systems</w:t>
      </w:r>
      <w:r>
        <w:t>, pp. 625–635.</w:t>
      </w:r>
    </w:p>
    <w:p>
      <w:pPr>
        <w:pStyle w:val="Citation"/>
      </w:pPr>
      <w:r>
        <w:t xml:space="preserve">Chen, L., Mensah, K., Fischer, A., &amp; </w:t>
      </w:r>
      <w:r>
        <w:rPr>
          <w:b/>
          <w:bCs/>
        </w:rPr>
        <w:t>Joshi, N.</w:t>
      </w:r>
      <w:r/>
      <w:r>
        <w:t xml:space="preserve"> (2024). Designing for air pollution and respiratory health. </w:t>
      </w:r>
      <w:r>
        <w:rPr>
          <w:i/>
        </w:rPr>
        <w:t>Tropical Health Review</w:t>
      </w:r>
      <w:r>
        <w:t>, 12(11), 263–271.</w:t>
      </w:r>
    </w:p>
    <w:p>
      <w:pPr>
        <w:pStyle w:val="Citation"/>
      </w:pPr>
      <w:r/>
      <w:r>
        <w:rPr>
          <w:b/>
          <w:bCs/>
        </w:rPr>
        <w:t>Joshi, N.</w:t>
      </w:r>
      <w:r>
        <w:t>, &amp; Chen, L.</w:t>
      </w:r>
      <w:r>
        <w:t xml:space="preserve"> (2024). Rethinking vaccine hesitancy. </w:t>
      </w:r>
      <w:r>
        <w:rPr>
          <w:i/>
        </w:rPr>
        <w:t>Epidemiology Methods Letters</w:t>
      </w:r>
      <w:r>
        <w:t>, 18(9), 470–491.</w:t>
      </w:r>
    </w:p>
    <w:p>
      <w:pPr>
        <w:pStyle w:val="Citation"/>
      </w:pPr>
      <w:r>
        <w:t xml:space="preserve">Kim, J., Chen, L., </w:t>
      </w:r>
      <w:r>
        <w:rPr>
          <w:b/>
          <w:bCs/>
        </w:rPr>
        <w:t>Joshi, N.</w:t>
      </w:r>
      <w:r>
        <w:t>, &amp; Okafor, D.</w:t>
      </w:r>
      <w:r>
        <w:t xml:space="preserve"> (2024). Revisiting air pollution and respiratory health. </w:t>
      </w:r>
      <w:r>
        <w:rPr>
          <w:i/>
        </w:rPr>
        <w:t>Tropical Health Review</w:t>
      </w:r>
      <w:r>
        <w:t>, 25(5), 834–849.</w:t>
      </w:r>
    </w:p>
    <w:p>
      <w:pPr>
        <w:pStyle w:val="Citation"/>
      </w:pPr>
      <w:r/>
      <w:r>
        <w:rPr>
          <w:b/>
          <w:bCs/>
        </w:rPr>
        <w:t>Joshi, N.</w:t>
      </w:r>
      <w:r>
        <w:t>, &amp; Okafor, D.</w:t>
      </w:r>
      <w:r>
        <w:t xml:space="preserve"> (2023). Designing for air pollution and respiratory health. </w:t>
      </w:r>
      <w:r>
        <w:rPr>
          <w:i/>
        </w:rPr>
        <w:t>Journal of Global Public Health Practice</w:t>
      </w:r>
      <w:r>
        <w:t>, 35(10), 422–431.</w:t>
      </w:r>
    </w:p>
    <w:p>
      <w:pPr>
        <w:pStyle w:val="Citation"/>
      </w:pPr>
      <w:r/>
      <w:r>
        <w:rPr>
          <w:b/>
          <w:bCs/>
        </w:rPr>
        <w:t>Joshi, N.</w:t>
      </w:r>
      <w:r>
        <w:t>, &amp; Sato, Y.</w:t>
      </w:r>
      <w:r>
        <w:t xml:space="preserve"> (2023). Designing for tuberculosis treatment adherence. </w:t>
      </w:r>
      <w:r>
        <w:rPr>
          <w:i/>
        </w:rPr>
        <w:t>Nutrition and Policy</w:t>
      </w:r>
      <w:r>
        <w:t>, 47(1), 83–99.</w:t>
      </w:r>
    </w:p>
    <w:p>
      <w:pPr>
        <w:pStyle w:val="Citation"/>
      </w:pPr>
      <w:r/>
      <w:r>
        <w:rPr>
          <w:b/>
          <w:bCs/>
        </w:rPr>
        <w:t>Joshi, N.</w:t>
      </w:r>
      <w:r>
        <w:t>, Fischer, A., &amp; Menon, V.</w:t>
      </w:r>
      <w:r>
        <w:t xml:space="preserve"> (2023). Towards maternal nutrition supplements. </w:t>
      </w:r>
      <w:r>
        <w:rPr>
          <w:i/>
        </w:rPr>
        <w:t>International Conference on Health Systems</w:t>
      </w:r>
      <w:r>
        <w:t>, pp. 310–319.</w:t>
      </w:r>
    </w:p>
    <w:p>
      <w:pPr>
        <w:pStyle w:val="Citation"/>
      </w:pPr>
      <w:r/>
      <w:r>
        <w:rPr>
          <w:b/>
          <w:bCs/>
        </w:rPr>
        <w:t>Joshi, N.</w:t>
      </w:r>
      <w:r>
        <w:t>, &amp; Gupta, R.</w:t>
      </w:r>
      <w:r>
        <w:t xml:space="preserve"> (2022). Revisiting tuberculosis treatment adherence. </w:t>
      </w:r>
      <w:r>
        <w:rPr>
          <w:i/>
        </w:rPr>
        <w:t>Nutrition and Policy</w:t>
      </w:r>
      <w:r>
        <w:t>, 13(10), 247–263.</w:t>
      </w:r>
    </w:p>
    <w:p>
      <w:pPr>
        <w:pStyle w:val="Citation"/>
      </w:pPr>
      <w:r>
        <w:t xml:space="preserve">Menon, V., &amp; </w:t>
      </w:r>
      <w:r>
        <w:rPr>
          <w:b/>
          <w:bCs/>
        </w:rPr>
        <w:t>Joshi, N.</w:t>
      </w:r>
      <w:r/>
      <w:r>
        <w:t xml:space="preserve"> (2022). Revisiting vaccine hesitancy. </w:t>
      </w:r>
      <w:r>
        <w:rPr>
          <w:i/>
        </w:rPr>
        <w:t>Epidemiology Methods Letters</w:t>
      </w:r>
      <w:r>
        <w:t>, 8(10), 41–63.</w:t>
      </w:r>
    </w:p>
    <w:p>
      <w:pPr>
        <w:pStyle w:val="Citation"/>
      </w:pPr>
      <w:r>
        <w:t xml:space="preserve">Okafor, D., Banerjee, P., &amp; </w:t>
      </w:r>
      <w:r>
        <w:rPr>
          <w:b/>
          <w:bCs/>
        </w:rPr>
        <w:t>Joshi, N.</w:t>
      </w:r>
      <w:r/>
      <w:r>
        <w:t xml:space="preserve"> (2022). Rethinking vaccine hesitancy. </w:t>
      </w:r>
      <w:r>
        <w:rPr>
          <w:i/>
        </w:rPr>
        <w:t>International Conference on Health Systems</w:t>
      </w:r>
      <w:r>
        <w:t>, pp. 160–168.</w:t>
      </w:r>
    </w:p>
    <w:p>
      <w:pPr>
        <w:pStyle w:val="Citation"/>
      </w:pPr>
      <w:r/>
      <w:r>
        <w:rPr>
          <w:b/>
          <w:bCs/>
        </w:rPr>
        <w:t>Joshi, N.</w:t>
      </w:r>
      <w:r>
        <w:t>, Fischer, A., &amp; Kim, J.</w:t>
      </w:r>
      <w:r>
        <w:t xml:space="preserve"> (2021). Towards vaccine hesitancy. </w:t>
      </w:r>
      <w:r>
        <w:rPr>
          <w:i/>
        </w:rPr>
        <w:t>International Conference on Health Systems</w:t>
      </w:r>
      <w:r>
        <w:t>, pp. 620–633.</w:t>
      </w:r>
    </w:p>
    <w:p>
      <w:pPr>
        <w:pStyle w:val="Citation"/>
      </w:pPr>
      <w:r>
        <w:t xml:space="preserve">Gupta, R., </w:t>
      </w:r>
      <w:r>
        <w:rPr>
          <w:b/>
          <w:bCs/>
        </w:rPr>
        <w:t>Joshi, N.</w:t>
      </w:r>
      <w:r>
        <w:t>, Haddad, N., &amp; Kim, J.</w:t>
      </w:r>
      <w:r>
        <w:t xml:space="preserve"> (2021). A study of community health worker programmes. </w:t>
      </w:r>
      <w:r>
        <w:rPr>
          <w:i/>
        </w:rPr>
        <w:t>Nutrition and Policy</w:t>
      </w:r>
      <w:r>
        <w:t>, 23(7), 123–139.</w:t>
      </w:r>
    </w:p>
    <w:p>
      <w:pPr>
        <w:pStyle w:val="Citation"/>
      </w:pPr>
      <w:r>
        <w:t xml:space="preserve">Mensah, K., &amp; </w:t>
      </w:r>
      <w:r>
        <w:rPr>
          <w:b/>
          <w:bCs/>
        </w:rPr>
        <w:t>Joshi, N.</w:t>
      </w:r>
      <w:r/>
      <w:r>
        <w:t xml:space="preserve"> (2021). Measuring maternal nutrition supplements. </w:t>
      </w:r>
      <w:r>
        <w:rPr>
          <w:i/>
        </w:rPr>
        <w:t>Epidemiology Methods Letters</w:t>
      </w:r>
      <w:r>
        <w:t>, 21(9), 687–702.</w:t>
      </w:r>
    </w:p>
    <w:p>
      <w:pPr>
        <w:pStyle w:val="SectionHeading"/>
        <w:pBdr>
          <w:bottom w:val="double" w:sz="6" w:space="2" w:color="3730A3"/>
        </w:pBdr>
      </w:pPr>
      <w:r>
        <w:t>Conference Presentations &amp; Invited Talks</w:t>
      </w:r>
    </w:p>
    <w:p>
      <w:pPr>
        <w:pStyle w:val="ResumeBullet"/>
      </w:pPr>
      <w:r>
        <w:t>Poster: “New approaches to childhood anaemia interventions”, Nutrition and Policy, Bengaluru, 2026.</w:t>
      </w:r>
    </w:p>
    <w:p>
      <w:pPr>
        <w:pStyle w:val="ResumeBullet"/>
      </w:pPr>
      <w:r>
        <w:t>Contributed talk: “Measuring air pollution and respiratory health”, Nutrition and Policy, London, 2026.</w:t>
      </w:r>
    </w:p>
    <w:p>
      <w:pPr>
        <w:pStyle w:val="ResumeBullet"/>
      </w:pPr>
      <w:r>
        <w:t>Invited talk: “New approaches to childhood anaemia interventions”, Symposium on Global Public Health Practice, New Delhi, 2025.</w:t>
      </w:r>
    </w:p>
    <w:p>
      <w:pPr>
        <w:pStyle w:val="ResumeBullet"/>
      </w:pPr>
      <w:r>
        <w:t>Contributed talk: “Measuring maternal nutrition supplements”, Tropical Health Review, Pune, 2025.</w:t>
      </w:r>
    </w:p>
    <w:p>
      <w:pPr>
        <w:pStyle w:val="ResumeBullet"/>
      </w:pPr>
      <w:r>
        <w:t>Invited talk: “Measuring childhood anaemia interventions”, Tropical Health Review, Kyoto, 2024.</w:t>
      </w:r>
    </w:p>
    <w:p>
      <w:pPr>
        <w:pStyle w:val="ResumeBullet"/>
      </w:pPr>
      <w:r>
        <w:t>Seminar: “Revisiting tuberculosis treatment adherence”, International Conference on Health Systems, Boston, 2024.</w:t>
      </w:r>
    </w:p>
    <w:p>
      <w:pPr>
        <w:pStyle w:val="ResumeBullet"/>
      </w:pPr>
      <w:r>
        <w:t>Seminar: “Towards community health worker programmes”, Epidemiology Methods Letters, Pune, 2023.</w:t>
      </w:r>
    </w:p>
    <w:p>
      <w:pPr>
        <w:pStyle w:val="ResumeBullet"/>
      </w:pPr>
      <w:r>
        <w:t>Seminar: “Understanding diabetes screening in urban slums”, Symposium on Global Public Health Practice, Bengaluru, 2023.</w:t>
      </w:r>
    </w:p>
    <w:p>
      <w:pPr>
        <w:pStyle w:val="SectionHeading"/>
        <w:pBdr>
          <w:bottom w:val="double" w:sz="6" w:space="2" w:color="3730A3"/>
        </w:pBdr>
      </w:pPr>
      <w:r>
        <w:t>Teaching</w:t>
      </w:r>
    </w:p>
    <w:p>
      <w:pPr>
        <w:pStyle w:val="ResumeBullet"/>
      </w:pPr>
      <w:r>
        <w:t>Lecturer, Epidemiology Methods (M.P.H.), 2021–present</w:t>
      </w:r>
    </w:p>
    <w:p>
      <w:pPr>
        <w:pStyle w:val="ResumeBullet"/>
      </w:pPr>
      <w:r>
        <w:t>Short course on field trials for state health staff (2022, 2024)</w:t>
      </w:r>
    </w:p>
    <w:p>
      <w:pPr>
        <w:pStyle w:val="SectionHeading"/>
        <w:pBdr>
          <w:bottom w:val="double" w:sz="6" w:space="2" w:color="3730A3"/>
        </w:pBdr>
      </w:pPr>
      <w:r>
        <w:t>Grants, Awards &amp; Honours</w:t>
      </w:r>
    </w:p>
    <w:p>
      <w:pPr>
        <w:pStyle w:val="ResumeBullet"/>
      </w:pPr>
      <w:r>
        <w:t>Principal Investigator, maternal and child health trial (2021–2025), USD 1.4M</w:t>
      </w:r>
    </w:p>
    <w:p>
      <w:pPr>
        <w:pStyle w:val="ResumeBullet"/>
      </w:pPr>
      <w:r>
        <w:t>Early Career Award, International Conference on Health Systems (2022)</w:t>
      </w:r>
    </w:p>
    <w:p>
      <w:pPr>
        <w:pStyle w:val="ResumeBullet"/>
      </w:pPr>
      <w:r>
        <w:t>Doctoral fellowship, Hollins School of Public Health (2014–2019)</w:t>
      </w:r>
    </w:p>
    <w:p>
      <w:pPr>
        <w:pStyle w:val="SectionHeading"/>
        <w:pBdr>
          <w:bottom w:val="double" w:sz="6" w:space="2" w:color="3730A3"/>
        </w:pBdr>
      </w:pPr>
      <w:r>
        <w:t>Professional Service</w:t>
      </w:r>
    </w:p>
    <w:p>
      <w:pPr>
        <w:pStyle w:val="ResumeBullet"/>
      </w:pPr>
      <w:r>
        <w:t>Technical advisor, state nutrition mission (2022–present)</w:t>
      </w:r>
    </w:p>
    <w:p>
      <w:pPr>
        <w:pStyle w:val="ResumeBullet"/>
      </w:pPr>
      <w:r>
        <w:t>Reviewer, Journal of Global Public Health Practice</w:t>
      </w:r>
    </w:p>
    <w:p>
      <w:pPr>
        <w:pStyle w:val="SectionHeading"/>
        <w:pBdr>
          <w:bottom w:val="double" w:sz="6" w:space="2" w:color="3730A3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Methods: </w:t>
      </w:r>
      <w:r>
        <w:t>Cluster-randomised trials, survival analysis, cost-effectiveness, qualitative interviews</w:t>
      </w:r>
    </w:p>
    <w:p>
      <w:pPr>
        <w:pStyle w:val="BodyText"/>
      </w:pPr>
      <w:r>
        <w:rPr>
          <w:b/>
          <w:bCs/>
        </w:rPr>
        <w:t xml:space="preserve">Software: </w:t>
      </w:r>
      <w:r>
        <w:t>Stata, R, ODK, NVivo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Marwari</w:t>
      </w:r>
    </w:p>
    <w:p>
      <w:pPr>
        <w:pStyle w:val="SectionHeading"/>
        <w:pBdr>
          <w:bottom w:val="double" w:sz="6" w:space="2" w:color="3730A3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T. Nguyen</w:t>
      </w:r>
    </w:p>
    <w:p>
      <w:pPr>
        <w:pStyle w:val="BodyText"/>
        <w:keepNext/>
        <w:spacing w:after="0"/>
      </w:pPr>
      <w:r>
        <w:t>Professor of Epidemiology, Hollins School of Public Health</w:t>
      </w:r>
    </w:p>
    <w:p>
      <w:pPr>
        <w:pStyle w:val="BodyText"/>
        <w:spacing w:after="100"/>
      </w:pPr>
      <w:r>
        <w:t>t.nguyen@university.edu</w:t>
      </w:r>
    </w:p>
    <w:p>
      <w:pPr>
        <w:pStyle w:val="BodyText"/>
        <w:keepNext/>
        <w:spacing w:after="0"/>
      </w:pPr>
      <w:r>
        <w:rPr>
          <w:b/>
          <w:bCs/>
        </w:rPr>
        <w:t>Dr. P. Banerjee</w:t>
      </w:r>
    </w:p>
    <w:p>
      <w:pPr>
        <w:pStyle w:val="BodyText"/>
        <w:keepNext/>
        <w:spacing w:after="0"/>
      </w:pPr>
      <w:r>
        <w:t>Director, Institute for Health Systems Research</w:t>
      </w:r>
    </w:p>
    <w:p>
      <w:pPr>
        <w:pStyle w:val="BodyText"/>
        <w:spacing w:after="100"/>
      </w:pPr>
      <w:r>
        <w:t>p.banerjee@institute.edu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Nandini Joshi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283" w:hanging="227"/>
      </w:pPr>
      <w:rPr>
        <w:rFonts w:ascii="Segoe UI Symbol" w:hAnsi="Segoe UI Symbol" w:cs="Segoe UI Symbol" w:hint="default"/>
        <w:color w:val="3730A3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rimson Pro" w:hAnsi="Crimson Pro" w:eastAsia="Crimson Pro" w:cs="Tiro Devanagari Hindi"/>
      <w:color w:val="1E1E1E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center"/>
    </w:pPr>
    <w:rPr>
      <w:rFonts w:ascii="Josefin Sans" w:hAnsi="Josefin Sans" w:eastAsia="Josefin Sans" w:cs="Tiro Devanagari Hindi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center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rimson Pro" w:hAnsi="Crimson Pro" w:eastAsia="Crimson Pro" w:cs="Tiro Devanagari Hindi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Josefin Sans" w:hAnsi="Josefin Sans" w:eastAsia="Josefin Sans" w:cs="Tiro Devanagari Hindi"/>
      <w:b/>
      <w:bCs/>
      <w:i w:val="0"/>
      <w:caps/>
      <w:smallCaps w:val="0"/>
      <w:color w:val="3730A3"/>
      <w:spacing w:val="28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rimson Pro" w:hAnsi="Crimson Pro" w:eastAsia="Crimson Pro" w:cs="Tiro Devanagari Hindi"/>
      <w:b/>
      <w:bCs/>
      <w:i w:val="0"/>
      <w:caps w:val="0"/>
      <w:smallCaps w:val="0"/>
      <w:color w:val="1E1E1E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Tiro Devanagari Hindi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Centred Masthead · Double Rules — Public Health Researcher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