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Dr. Farah Siddiqui</w:t>
      </w:r>
    </w:p>
    <w:p>
      <w:pPr>
        <w:pStyle w:val="Role"/>
        <w:tabs>
          <w:tab w:pos="9411" w:val="right"/>
        </w:tabs>
      </w:pPr>
      <w:r>
        <w:t>Associate Professor of History</w:t>
      </w:r>
      <w:r>
        <w:tab/>
      </w:r>
      <w:r>
        <w:rPr>
          <w:i w:val="0"/>
          <w:color w:val="555555"/>
          <w:sz w:val="18"/>
          <w:szCs w:val="18"/>
        </w:rPr>
        <w:t>farah.siddiqui@university.edu</w:t>
      </w:r>
    </w:p>
    <w:p>
      <w:pPr>
        <w:pStyle w:val="Contact"/>
        <w:pBdr>
          <w:bottom w:val="single" w:sz="12" w:space="6" w:color="9F1239"/>
        </w:pBdr>
        <w:tabs>
          <w:tab w:pos="9411" w:val="right"/>
        </w:tabs>
      </w:pPr>
      <w:r>
        <w:t>Kolkata, India</w:t>
      </w:r>
      <w:r>
        <w:tab/>
      </w:r>
      <w:r>
        <w:t>+91 98310 88990</w:t>
      </w:r>
    </w:p>
    <w:p>
      <w:pPr>
        <w:pStyle w:val="SectionHeading"/>
        <w:pBdr>
          <w:top w:val="single" w:sz="8" w:space="4" w:color="9F1239"/>
        </w:pBdr>
      </w:pPr>
      <w:r>
        <w:t>Profile</w:t>
      </w:r>
    </w:p>
    <w:p>
      <w:pPr>
        <w:pStyle w:val="Summary"/>
      </w:pPr>
      <w:r>
        <w:t>Historian of the Indian Ocean world, working on port cities, print culture and urban life from 1750 to 1950. Archival research in five countries and six languages.</w:t>
      </w:r>
    </w:p>
    <w:p>
      <w:pPr>
        <w:pStyle w:val="SectionHeading"/>
        <w:pBdr>
          <w:top w:val="single" w:sz="8" w:space="4" w:color="9F1239"/>
        </w:pBdr>
      </w:pPr>
      <w:r>
        <w:t>Education</w:t>
      </w:r>
    </w:p>
    <w:p>
      <w:pPr>
        <w:pStyle w:val="EntryTitle"/>
      </w:pPr>
      <w:r>
        <w:t>Ph.D., History</w:t>
      </w:r>
      <w:r>
        <w:rPr>
          <w:b w:val="0"/>
          <w:i/>
          <w:color w:val="9F1239"/>
          <w:sz w:val="18"/>
          <w:szCs w:val="18"/>
        </w:rPr>
        <w:t xml:space="preserve">  ·  2008 – 2014</w:t>
      </w:r>
    </w:p>
    <w:p>
      <w:pPr>
        <w:pStyle w:val="EntryMeta"/>
      </w:pPr>
      <w:r>
        <w:t>Ganga Valley University</w:t>
      </w:r>
    </w:p>
    <w:p>
      <w:pPr>
        <w:pStyle w:val="BodyText"/>
      </w:pPr>
      <w:r>
        <w:t>Dissertation: Merchants and municipalities in colonial port cities</w:t>
      </w:r>
    </w:p>
    <w:p>
      <w:pPr>
        <w:pStyle w:val="EntryTitle"/>
      </w:pPr>
      <w:r>
        <w:t>M.Phil., History</w:t>
      </w:r>
      <w:r>
        <w:rPr>
          <w:b w:val="0"/>
          <w:i/>
          <w:color w:val="9F1239"/>
          <w:sz w:val="18"/>
          <w:szCs w:val="18"/>
        </w:rPr>
        <w:t xml:space="preserve">  ·  2006 – 2008</w:t>
      </w:r>
    </w:p>
    <w:p>
      <w:pPr>
        <w:pStyle w:val="EntryMeta"/>
      </w:pPr>
      <w:r>
        <w:t>Ganga Valley University</w:t>
      </w:r>
    </w:p>
    <w:p>
      <w:pPr>
        <w:pStyle w:val="EntryTitle"/>
      </w:pPr>
      <w:r>
        <w:t>M.A., History</w:t>
      </w:r>
      <w:r>
        <w:rPr>
          <w:b w:val="0"/>
          <w:i/>
          <w:color w:val="9F1239"/>
          <w:sz w:val="18"/>
          <w:szCs w:val="18"/>
        </w:rPr>
        <w:t xml:space="preserve">  ·  2004 – 2006</w:t>
      </w:r>
    </w:p>
    <w:p>
      <w:pPr>
        <w:pStyle w:val="EntryMeta"/>
      </w:pPr>
      <w:r>
        <w:t>Monsoon College of Arts</w:t>
      </w:r>
    </w:p>
    <w:p>
      <w:pPr>
        <w:pStyle w:val="BodyText"/>
      </w:pPr>
      <w:r>
        <w:t>Gold medal</w:t>
      </w:r>
    </w:p>
    <w:p>
      <w:pPr>
        <w:pStyle w:val="SectionHeading"/>
        <w:pBdr>
          <w:top w:val="single" w:sz="8" w:space="4" w:color="9F1239"/>
        </w:pBdr>
      </w:pPr>
      <w:r>
        <w:t>Research Experience</w:t>
      </w:r>
    </w:p>
    <w:p>
      <w:pPr>
        <w:pStyle w:val="EntryTitle"/>
      </w:pPr>
      <w:r>
        <w:t>Associate Professor of History</w:t>
      </w:r>
      <w:r>
        <w:rPr>
          <w:b w:val="0"/>
          <w:i/>
          <w:color w:val="9F1239"/>
          <w:sz w:val="18"/>
          <w:szCs w:val="18"/>
        </w:rPr>
        <w:t xml:space="preserve">  ·  2019 – Present</w:t>
      </w:r>
    </w:p>
    <w:p>
      <w:pPr>
        <w:pStyle w:val="EntryMeta"/>
      </w:pPr>
      <w:r>
        <w:t>Monsoon College of Arts</w:t>
      </w:r>
    </w:p>
    <w:p>
      <w:pPr>
        <w:pStyle w:val="ResumeBullet"/>
      </w:pPr>
      <w:r>
        <w:t>Teach modern South Asian and Indian Ocean history; convene the urban history seminar.</w:t>
      </w:r>
    </w:p>
    <w:p>
      <w:pPr>
        <w:pStyle w:val="EntryTitle"/>
      </w:pPr>
      <w:r>
        <w:t>Assistant Professor of History</w:t>
      </w:r>
      <w:r>
        <w:rPr>
          <w:b w:val="0"/>
          <w:i/>
          <w:color w:val="9F1239"/>
          <w:sz w:val="18"/>
          <w:szCs w:val="18"/>
        </w:rPr>
        <w:t xml:space="preserve">  ·  2014 – 2019</w:t>
      </w:r>
    </w:p>
    <w:p>
      <w:pPr>
        <w:pStyle w:val="EntryMeta"/>
      </w:pPr>
      <w:r>
        <w:t>Monsoon College of Arts</w:t>
      </w:r>
    </w:p>
    <w:p>
      <w:pPr>
        <w:pStyle w:val="EntryTitle"/>
      </w:pPr>
      <w:r>
        <w:t>Visiting Fellow</w:t>
      </w:r>
      <w:r>
        <w:rPr>
          <w:b w:val="0"/>
          <w:i/>
          <w:color w:val="9F1239"/>
          <w:sz w:val="18"/>
          <w:szCs w:val="18"/>
        </w:rPr>
        <w:t xml:space="preserve">  ·  2017</w:t>
      </w:r>
    </w:p>
    <w:p>
      <w:pPr>
        <w:pStyle w:val="EntryMeta"/>
      </w:pPr>
      <w:r>
        <w:t>Institute for Maritime Studies, Leiden-style programme</w:t>
      </w:r>
    </w:p>
    <w:p>
      <w:pPr>
        <w:pStyle w:val="ResumeBullet"/>
      </w:pPr>
      <w:r>
        <w:t>Archival work on Dutch and English trade records.</w:t>
      </w:r>
    </w:p>
    <w:p>
      <w:pPr>
        <w:pStyle w:val="SectionHeading"/>
        <w:pBdr>
          <w:top w:val="single" w:sz="8" w:space="4" w:color="9F1239"/>
        </w:pBdr>
      </w:pPr>
      <w:r>
        <w:t>Publications</w:t>
      </w:r>
    </w:p>
    <w:p>
      <w:pPr>
        <w:pStyle w:val="Citation"/>
      </w:pPr>
      <w:r>
        <w:t xml:space="preserve">Gupta, R., Iyer, M., </w:t>
      </w:r>
      <w:r>
        <w:rPr>
          <w:b/>
          <w:bCs/>
        </w:rPr>
        <w:t>Siddiqui, F.</w:t>
      </w:r>
      <w:r>
        <w:t>, &amp; Sato, Y.</w:t>
      </w:r>
      <w:r>
        <w:t xml:space="preserve"> (2026). Rethinking maritime trade networks. </w:t>
      </w:r>
      <w:r>
        <w:rPr>
          <w:i/>
        </w:rPr>
        <w:t>Journal of South Asian Histories</w:t>
      </w:r>
      <w:r>
        <w:t>, 15(6), 529–548.</w:t>
      </w:r>
    </w:p>
    <w:p>
      <w:pPr>
        <w:pStyle w:val="Citation"/>
      </w:pPr>
      <w:r>
        <w:t xml:space="preserve">Haddad, N., Chen, L., &amp; </w:t>
      </w:r>
      <w:r>
        <w:rPr>
          <w:b/>
          <w:bCs/>
        </w:rPr>
        <w:t>Siddiqui, F.</w:t>
      </w:r>
      <w:r/>
      <w:r>
        <w:t xml:space="preserve"> (2026). New approaches to port cities of the Indian Ocean. </w:t>
      </w:r>
      <w:r>
        <w:rPr>
          <w:i/>
        </w:rPr>
        <w:t>Review of Maritime History</w:t>
      </w:r>
      <w:r>
        <w:t>, 8(3), 616–635.</w:t>
      </w:r>
    </w:p>
    <w:p>
      <w:pPr>
        <w:pStyle w:val="Citation"/>
      </w:pPr>
      <w:r/>
      <w:r>
        <w:rPr>
          <w:b/>
          <w:bCs/>
        </w:rPr>
        <w:t>Siddiqui, F.</w:t>
      </w:r>
      <w:r>
        <w:t>, &amp; Fischer, A.</w:t>
      </w:r>
      <w:r>
        <w:t xml:space="preserve"> (2026). New approaches to railways and pilgrimage. </w:t>
      </w:r>
      <w:r>
        <w:rPr>
          <w:i/>
        </w:rPr>
        <w:t>Annual History Congress</w:t>
      </w:r>
      <w:r>
        <w:t>, pp. 410–420.</w:t>
      </w:r>
    </w:p>
    <w:p>
      <w:pPr>
        <w:pStyle w:val="Citation"/>
      </w:pPr>
      <w:r/>
      <w:r>
        <w:rPr>
          <w:b/>
          <w:bCs/>
        </w:rPr>
        <w:t>Siddiqui, F.</w:t>
      </w:r>
      <w:r>
        <w:t>, Menon, V., &amp; Okafor, D.</w:t>
      </w:r>
      <w:r>
        <w:t xml:space="preserve"> (2025). Scaling maritime trade networks. </w:t>
      </w:r>
      <w:r>
        <w:rPr>
          <w:i/>
        </w:rPr>
        <w:t>Studies in Colonial Cities</w:t>
      </w:r>
      <w:r>
        <w:t>, 21(2), 736–745.</w:t>
      </w:r>
    </w:p>
    <w:p>
      <w:pPr>
        <w:pStyle w:val="Citation"/>
      </w:pPr>
      <w:r/>
      <w:r>
        <w:rPr>
          <w:b/>
          <w:bCs/>
        </w:rPr>
        <w:t>Siddiqui, F.</w:t>
      </w:r>
      <w:r>
        <w:t>, &amp; Menon, V.</w:t>
      </w:r>
      <w:r>
        <w:t xml:space="preserve"> (2025). Towards print culture in colonial Bengal. </w:t>
      </w:r>
      <w:r>
        <w:rPr>
          <w:i/>
        </w:rPr>
        <w:t>Modern Archives Quarterly</w:t>
      </w:r>
      <w:r>
        <w:t>, 10(1), 413–424.</w:t>
      </w:r>
    </w:p>
    <w:p>
      <w:pPr>
        <w:pStyle w:val="Citation"/>
      </w:pPr>
      <w:r/>
      <w:r>
        <w:rPr>
          <w:b/>
          <w:bCs/>
        </w:rPr>
        <w:t>Siddiqui, F.</w:t>
      </w:r>
      <w:r>
        <w:t>, Fischer, A., &amp; Rao, S.</w:t>
      </w:r>
      <w:r>
        <w:t xml:space="preserve"> (2025). New approaches to textile guilds of western India. </w:t>
      </w:r>
      <w:r>
        <w:rPr>
          <w:i/>
        </w:rPr>
        <w:t>Review of Maritime History</w:t>
      </w:r>
      <w:r>
        <w:t>, 13(7), 42–59.</w:t>
      </w:r>
    </w:p>
    <w:p>
      <w:pPr>
        <w:pStyle w:val="Citation"/>
      </w:pPr>
      <w:r/>
      <w:r>
        <w:rPr>
          <w:b/>
          <w:bCs/>
        </w:rPr>
        <w:t>Siddiqui, F.</w:t>
      </w:r>
      <w:r>
        <w:t>, Haddad, N., Fischer, A., &amp; Okafor, D.</w:t>
      </w:r>
      <w:r>
        <w:t xml:space="preserve"> (2024). Measuring maritime trade networks. </w:t>
      </w:r>
      <w:r>
        <w:rPr>
          <w:i/>
        </w:rPr>
        <w:t>Studies in Colonial Cities</w:t>
      </w:r>
      <w:r>
        <w:t>, 13(11), 712–728.</w:t>
      </w:r>
    </w:p>
    <w:p>
      <w:pPr>
        <w:pStyle w:val="Citation"/>
      </w:pPr>
      <w:r>
        <w:t xml:space="preserve">Sato, Y., Iyer, M., &amp; </w:t>
      </w:r>
      <w:r>
        <w:rPr>
          <w:b/>
          <w:bCs/>
        </w:rPr>
        <w:t>Siddiqui, F.</w:t>
      </w:r>
      <w:r/>
      <w:r>
        <w:t xml:space="preserve"> (2024). New approaches to railways and pilgrimage. </w:t>
      </w:r>
      <w:r>
        <w:rPr>
          <w:i/>
        </w:rPr>
        <w:t>Modern Archives Quarterly</w:t>
      </w:r>
      <w:r>
        <w:t>, 38(8), 548–556.</w:t>
      </w:r>
    </w:p>
    <w:p>
      <w:pPr>
        <w:pStyle w:val="Citation"/>
      </w:pPr>
      <w:r>
        <w:t xml:space="preserve">Chen, L., Rao, S., &amp; </w:t>
      </w:r>
      <w:r>
        <w:rPr>
          <w:b/>
          <w:bCs/>
        </w:rPr>
        <w:t>Siddiqui, F.</w:t>
      </w:r>
      <w:r/>
      <w:r>
        <w:t xml:space="preserve"> (2024). Understanding municipal politics in early Bombay. </w:t>
      </w:r>
      <w:r>
        <w:rPr>
          <w:i/>
        </w:rPr>
        <w:t>Studies in Colonial Cities</w:t>
      </w:r>
      <w:r>
        <w:t>, 19(12), 214–235.</w:t>
      </w:r>
    </w:p>
    <w:p>
      <w:pPr>
        <w:pStyle w:val="Citation"/>
      </w:pPr>
      <w:r/>
      <w:r>
        <w:rPr>
          <w:b/>
          <w:bCs/>
        </w:rPr>
        <w:t>Siddiqui, F.</w:t>
      </w:r>
      <w:r>
        <w:t>, &amp; Mensah, K.</w:t>
      </w:r>
      <w:r>
        <w:t xml:space="preserve"> (2023). New approaches to textile guilds of western India. </w:t>
      </w:r>
      <w:r>
        <w:rPr>
          <w:i/>
        </w:rPr>
        <w:t>Journal of South Asian Histories</w:t>
      </w:r>
      <w:r>
        <w:t>, 23(3), 591–604.</w:t>
      </w:r>
    </w:p>
    <w:p>
      <w:pPr>
        <w:pStyle w:val="Citation"/>
      </w:pPr>
      <w:r>
        <w:t xml:space="preserve">Chen, L., Fischer, A., &amp; </w:t>
      </w:r>
      <w:r>
        <w:rPr>
          <w:b/>
          <w:bCs/>
        </w:rPr>
        <w:t>Siddiqui, F.</w:t>
      </w:r>
      <w:r/>
      <w:r>
        <w:t xml:space="preserve"> (2023). Understanding famine relief archives. </w:t>
      </w:r>
      <w:r>
        <w:rPr>
          <w:i/>
        </w:rPr>
        <w:t>Review of Maritime History</w:t>
      </w:r>
      <w:r>
        <w:t>, 11(7), 348–357.</w:t>
      </w:r>
    </w:p>
    <w:p>
      <w:pPr>
        <w:pStyle w:val="Citation"/>
      </w:pPr>
      <w:r>
        <w:t xml:space="preserve">Banerjee, P., </w:t>
      </w:r>
      <w:r>
        <w:rPr>
          <w:b/>
          <w:bCs/>
        </w:rPr>
        <w:t>Siddiqui, F.</w:t>
      </w:r>
      <w:r>
        <w:t>, Gupta, R., &amp; Chen, L.</w:t>
      </w:r>
      <w:r>
        <w:t xml:space="preserve"> (2023). Designing for municipal politics in early Bombay. </w:t>
      </w:r>
      <w:r>
        <w:rPr>
          <w:i/>
        </w:rPr>
        <w:t>Modern Archives Quarterly</w:t>
      </w:r>
      <w:r>
        <w:t>, 6(8), 460–477.</w:t>
      </w:r>
    </w:p>
    <w:p>
      <w:pPr>
        <w:pStyle w:val="SectionHeading"/>
        <w:pBdr>
          <w:top w:val="single" w:sz="8" w:space="4" w:color="9F1239"/>
        </w:pBdr>
      </w:pPr>
      <w:r>
        <w:t>Books</w:t>
      </w:r>
    </w:p>
    <w:p>
      <w:pPr>
        <w:pStyle w:val="Citation"/>
      </w:pPr>
      <w:r>
        <w:t>Siddiqui, F. (2019). Harbour Towns: Merchants, Municipalities and the Making of Colonial Port Cities. Monsoon University Press.</w:t>
      </w:r>
    </w:p>
    <w:p>
      <w:pPr>
        <w:pStyle w:val="Citation"/>
      </w:pPr>
      <w:r>
        <w:t>Siddiqui, F. (Ed.) (2023). Print and the City: Essays on Urban Reading Publics. Lantern Academic.</w:t>
      </w:r>
    </w:p>
    <w:p>
      <w:pPr>
        <w:pStyle w:val="SectionHeading"/>
        <w:pBdr>
          <w:top w:val="single" w:sz="8" w:space="4" w:color="9F1239"/>
        </w:pBdr>
      </w:pPr>
      <w:r>
        <w:t>Conference Presentations &amp; Invited Talks</w:t>
      </w:r>
    </w:p>
    <w:p>
      <w:pPr>
        <w:pStyle w:val="ResumeBullet"/>
      </w:pPr>
      <w:r>
        <w:t>Poster: “New approaches to print culture in colonial Bengal”, Review of Maritime History, Chennai, 2026.</w:t>
      </w:r>
    </w:p>
    <w:p>
      <w:pPr>
        <w:pStyle w:val="ResumeBullet"/>
      </w:pPr>
      <w:r>
        <w:t>Invited talk: “Revisiting railways and pilgrimage”, Studies in Colonial Cities, Hyderabad, 2026.</w:t>
      </w:r>
    </w:p>
    <w:p>
      <w:pPr>
        <w:pStyle w:val="ResumeBullet"/>
      </w:pPr>
      <w:r>
        <w:t>Seminar: “Evidence on railways and pilgrimage”, Modern Archives Quarterly, Pune, 2025.</w:t>
      </w:r>
    </w:p>
    <w:p>
      <w:pPr>
        <w:pStyle w:val="ResumeBullet"/>
      </w:pPr>
      <w:r>
        <w:t>Seminar: “Revisiting maritime trade networks”, Studies in Colonial Cities, London, 2025.</w:t>
      </w:r>
    </w:p>
    <w:p>
      <w:pPr>
        <w:pStyle w:val="ResumeBullet"/>
      </w:pPr>
      <w:r>
        <w:t>Seminar: “Rethinking print culture in colonial Bengal”, Review of Maritime History, New Delhi, 2024.</w:t>
      </w:r>
    </w:p>
    <w:p>
      <w:pPr>
        <w:pStyle w:val="ResumeBullet"/>
      </w:pPr>
      <w:r>
        <w:t>Seminar: “New approaches to railways and pilgrimage”, Studies in Colonial Cities, New Delhi, 2024.</w:t>
      </w:r>
    </w:p>
    <w:p>
      <w:pPr>
        <w:pStyle w:val="ResumeBullet"/>
      </w:pPr>
      <w:r>
        <w:t>Seminar: “Measuring print culture in colonial Bengal”, Annual History Congress, Hyderabad, 2023.</w:t>
      </w:r>
    </w:p>
    <w:p>
      <w:pPr>
        <w:pStyle w:val="ResumeBullet"/>
      </w:pPr>
      <w:r>
        <w:t>Invited talk: “Understanding maritime trade networks”, Annual History Congress, Singapore, 2023.</w:t>
      </w:r>
    </w:p>
    <w:p>
      <w:pPr>
        <w:pStyle w:val="ResumeBullet"/>
      </w:pPr>
      <w:r>
        <w:t>Keynote: “Rethinking maritime trade networks”, Symposium on South Asian Histories, New Delhi, 2022.</w:t>
      </w:r>
    </w:p>
    <w:p>
      <w:pPr>
        <w:pStyle w:val="SectionHeading"/>
        <w:pBdr>
          <w:top w:val="single" w:sz="8" w:space="4" w:color="9F1239"/>
        </w:pBdr>
      </w:pPr>
      <w:r>
        <w:t>Teaching</w:t>
      </w:r>
    </w:p>
    <w:p>
      <w:pPr>
        <w:pStyle w:val="ResumeBullet"/>
      </w:pPr>
      <w:r>
        <w:t>Modern South Asia, 1750–1950 (B.A.)</w:t>
      </w:r>
    </w:p>
    <w:p>
      <w:pPr>
        <w:pStyle w:val="ResumeBullet"/>
      </w:pPr>
      <w:r>
        <w:t>Cities and Empires (M.A.)</w:t>
      </w:r>
    </w:p>
    <w:p>
      <w:pPr>
        <w:pStyle w:val="ResumeBullet"/>
      </w:pPr>
      <w:r>
        <w:t>Archival Methods (M.Phil./Ph.D.)</w:t>
      </w:r>
    </w:p>
    <w:p>
      <w:pPr>
        <w:pStyle w:val="ResumeBullet"/>
      </w:pPr>
      <w:r>
        <w:t>Supervised 7 doctoral and 20 M.Phil. students</w:t>
      </w:r>
    </w:p>
    <w:p>
      <w:pPr>
        <w:pStyle w:val="SectionHeading"/>
        <w:pBdr>
          <w:top w:val="single" w:sz="8" w:space="4" w:color="9F1239"/>
        </w:pBdr>
      </w:pPr>
      <w:r>
        <w:t>Grants, Awards &amp; Honours</w:t>
      </w:r>
    </w:p>
    <w:p>
      <w:pPr>
        <w:pStyle w:val="ResumeBullet"/>
      </w:pPr>
      <w:r>
        <w:t>Senior research grant, national council for historical research (2021–2024)</w:t>
      </w:r>
    </w:p>
    <w:p>
      <w:pPr>
        <w:pStyle w:val="ResumeBullet"/>
      </w:pPr>
      <w:r>
        <w:t>Book prize, Annual History Congress (2020)</w:t>
      </w:r>
    </w:p>
    <w:p>
      <w:pPr>
        <w:pStyle w:val="ResumeBullet"/>
      </w:pPr>
      <w:r>
        <w:t>Short-term archive fellowship, maritime history foundation (2016)</w:t>
      </w:r>
    </w:p>
    <w:p>
      <w:pPr>
        <w:pStyle w:val="SectionHeading"/>
        <w:pBdr>
          <w:top w:val="single" w:sz="8" w:space="4" w:color="9F1239"/>
        </w:pBdr>
      </w:pPr>
      <w:r>
        <w:t>Professional Service</w:t>
      </w:r>
    </w:p>
    <w:p>
      <w:pPr>
        <w:pStyle w:val="ResumeBullet"/>
      </w:pPr>
      <w:r>
        <w:t>Book reviews editor, Journal of South Asian Histories (2020–present)</w:t>
      </w:r>
    </w:p>
    <w:p>
      <w:pPr>
        <w:pStyle w:val="ResumeBullet"/>
      </w:pPr>
      <w:r>
        <w:t>Member, state archives advisory board (2022–present)</w:t>
      </w:r>
    </w:p>
    <w:p>
      <w:pPr>
        <w:pStyle w:val="SectionHeading"/>
        <w:pBdr>
          <w:top w:val="single" w:sz="8" w:space="4" w:color="9F1239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Languages for research: </w:t>
      </w:r>
      <w:r>
        <w:t>Urdu, Persian, Bengali, Dutch (reading), English</w:t>
      </w:r>
    </w:p>
    <w:p>
      <w:pPr>
        <w:pStyle w:val="BodyText"/>
      </w:pPr>
      <w:r>
        <w:rPr>
          <w:b/>
          <w:bCs/>
        </w:rPr>
        <w:t xml:space="preserve">Methods: </w:t>
      </w:r>
      <w:r>
        <w:t>Archival research, oral history, digital mapping (QGIS)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Urdu, Bengali, Hindi</w:t>
      </w:r>
    </w:p>
    <w:p>
      <w:pPr>
        <w:pStyle w:val="SectionHeading"/>
        <w:pBdr>
          <w:top w:val="single" w:sz="8" w:space="4" w:color="9F1239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S. Mukherjee</w:t>
      </w:r>
    </w:p>
    <w:p>
      <w:pPr>
        <w:pStyle w:val="BodyText"/>
        <w:keepNext/>
        <w:spacing w:after="0"/>
      </w:pPr>
      <w:r>
        <w:t>Professor of History, Ganga Valley University</w:t>
      </w:r>
    </w:p>
    <w:p>
      <w:pPr>
        <w:pStyle w:val="BodyText"/>
        <w:spacing w:after="100"/>
      </w:pPr>
      <w:r>
        <w:t>s.mukherjee@university.edu</w:t>
      </w:r>
    </w:p>
    <w:p>
      <w:pPr>
        <w:pStyle w:val="BodyText"/>
        <w:keepNext/>
        <w:spacing w:after="0"/>
      </w:pPr>
      <w:r>
        <w:rPr>
          <w:b/>
          <w:bCs/>
        </w:rPr>
        <w:t>Prof. H. de Vries</w:t>
      </w:r>
    </w:p>
    <w:p>
      <w:pPr>
        <w:pStyle w:val="BodyText"/>
        <w:keepNext/>
        <w:spacing w:after="0"/>
      </w:pPr>
      <w:r>
        <w:t>Professor of Maritime History</w:t>
      </w:r>
    </w:p>
    <w:p>
      <w:pPr>
        <w:pStyle w:val="BodyText"/>
        <w:spacing w:after="100"/>
      </w:pPr>
      <w:r>
        <w:t>h.devries@university.example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Open Sans" w:hAnsi="Open Sans" w:eastAsia="Open Sans" w:cs="Open Sans"/>
        <w:color w:val="888888"/>
        <w:sz w:val="16"/>
        <w:szCs w:val="16"/>
      </w:rPr>
      <w:t xml:space="preserve">Page </w:t>
    </w:r>
    <w:r>
      <w:rPr>
        <w:rFonts w:ascii="Open Sans" w:hAnsi="Open Sans" w:eastAsia="Open Sans" w:cs="Open Sans"/>
        <w:color w:val="888888"/>
        <w:sz w:val="16"/>
        <w:szCs w:val="16"/>
      </w:rPr>
      <w:fldChar w:fldCharType="begin"/>
    </w:r>
    <w:r>
      <w:rPr>
        <w:rFonts w:ascii="Open Sans" w:hAnsi="Open Sans" w:eastAsia="Open Sans" w:cs="Open Sans"/>
        <w:color w:val="888888"/>
        <w:sz w:val="16"/>
        <w:szCs w:val="16"/>
      </w:rPr>
      <w:instrText xml:space="preserve"> PAGE </w:instrText>
    </w:r>
    <w:r>
      <w:rPr>
        <w:rFonts w:ascii="Open Sans" w:hAnsi="Open Sans" w:eastAsia="Open Sans" w:cs="Open Sans"/>
        <w:color w:val="888888"/>
        <w:sz w:val="16"/>
        <w:szCs w:val="16"/>
      </w:rPr>
      <w:fldChar w:fldCharType="separate"/>
    </w:r>
    <w:r>
      <w:rPr>
        <w:rFonts w:ascii="Open Sans" w:hAnsi="Open Sans" w:eastAsia="Open Sans" w:cs="Open Sans"/>
        <w:color w:val="888888"/>
        <w:sz w:val="16"/>
        <w:szCs w:val="16"/>
      </w:rPr>
      <w:t>1</w:t>
    </w:r>
    <w:r>
      <w:rPr>
        <w:rFonts w:ascii="Open Sans" w:hAnsi="Open Sans" w:eastAsia="Open Sans" w:cs="Open Sans"/>
        <w:color w:val="888888"/>
        <w:sz w:val="16"/>
        <w:szCs w:val="16"/>
      </w:rPr>
      <w:fldChar w:fldCharType="end"/>
    </w:r>
    <w:r>
      <w:rPr>
        <w:rFonts w:ascii="Open Sans" w:hAnsi="Open Sans" w:eastAsia="Open Sans" w:cs="Open Sans"/>
        <w:color w:val="888888"/>
        <w:sz w:val="16"/>
        <w:szCs w:val="16"/>
      </w:rPr>
      <w:t xml:space="preserve"> of </w:t>
    </w:r>
    <w:r>
      <w:rPr>
        <w:rFonts w:ascii="Open Sans" w:hAnsi="Open Sans" w:eastAsia="Open Sans" w:cs="Open Sans"/>
        <w:color w:val="888888"/>
        <w:sz w:val="16"/>
        <w:szCs w:val="16"/>
      </w:rPr>
      <w:fldChar w:fldCharType="begin"/>
    </w:r>
    <w:r>
      <w:rPr>
        <w:rFonts w:ascii="Open Sans" w:hAnsi="Open Sans" w:eastAsia="Open Sans" w:cs="Open Sans"/>
        <w:color w:val="888888"/>
        <w:sz w:val="16"/>
        <w:szCs w:val="16"/>
      </w:rPr>
      <w:instrText xml:space="preserve"> NUMPAGES </w:instrText>
    </w:r>
    <w:r>
      <w:rPr>
        <w:rFonts w:ascii="Open Sans" w:hAnsi="Open Sans" w:eastAsia="Open Sans" w:cs="Open Sans"/>
        <w:color w:val="888888"/>
        <w:sz w:val="16"/>
        <w:szCs w:val="16"/>
      </w:rPr>
      <w:fldChar w:fldCharType="separate"/>
    </w:r>
    <w:r>
      <w:rPr>
        <w:rFonts w:ascii="Open Sans" w:hAnsi="Open Sans" w:eastAsia="Open Sans" w:cs="Open Sans"/>
        <w:color w:val="888888"/>
        <w:sz w:val="16"/>
        <w:szCs w:val="16"/>
      </w:rPr>
      <w:t>1</w:t>
    </w:r>
    <w:r>
      <w:rPr>
        <w:rFonts w:ascii="Open Sans" w:hAnsi="Open Sans" w:eastAsia="Open Sans" w:cs="Open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Open Sans" w:hAnsi="Open Sans" w:eastAsia="Open Sans" w:cs="Open Sans"/>
        <w:color w:val="888888"/>
        <w:sz w:val="16"/>
        <w:szCs w:val="16"/>
      </w:rPr>
      <w:t xml:space="preserve">Page </w:t>
    </w:r>
    <w:r>
      <w:rPr>
        <w:rFonts w:ascii="Open Sans" w:hAnsi="Open Sans" w:eastAsia="Open Sans" w:cs="Open Sans"/>
        <w:color w:val="888888"/>
        <w:sz w:val="16"/>
        <w:szCs w:val="16"/>
      </w:rPr>
      <w:fldChar w:fldCharType="begin"/>
    </w:r>
    <w:r>
      <w:rPr>
        <w:rFonts w:ascii="Open Sans" w:hAnsi="Open Sans" w:eastAsia="Open Sans" w:cs="Open Sans"/>
        <w:color w:val="888888"/>
        <w:sz w:val="16"/>
        <w:szCs w:val="16"/>
      </w:rPr>
      <w:instrText xml:space="preserve"> PAGE </w:instrText>
    </w:r>
    <w:r>
      <w:rPr>
        <w:rFonts w:ascii="Open Sans" w:hAnsi="Open Sans" w:eastAsia="Open Sans" w:cs="Open Sans"/>
        <w:color w:val="888888"/>
        <w:sz w:val="16"/>
        <w:szCs w:val="16"/>
      </w:rPr>
      <w:fldChar w:fldCharType="separate"/>
    </w:r>
    <w:r>
      <w:rPr>
        <w:rFonts w:ascii="Open Sans" w:hAnsi="Open Sans" w:eastAsia="Open Sans" w:cs="Open Sans"/>
        <w:color w:val="888888"/>
        <w:sz w:val="16"/>
        <w:szCs w:val="16"/>
      </w:rPr>
      <w:t>1</w:t>
    </w:r>
    <w:r>
      <w:rPr>
        <w:rFonts w:ascii="Open Sans" w:hAnsi="Open Sans" w:eastAsia="Open Sans" w:cs="Open Sans"/>
        <w:color w:val="888888"/>
        <w:sz w:val="16"/>
        <w:szCs w:val="16"/>
      </w:rPr>
      <w:fldChar w:fldCharType="end"/>
    </w:r>
    <w:r>
      <w:rPr>
        <w:rFonts w:ascii="Open Sans" w:hAnsi="Open Sans" w:eastAsia="Open Sans" w:cs="Open Sans"/>
        <w:color w:val="888888"/>
        <w:sz w:val="16"/>
        <w:szCs w:val="16"/>
      </w:rPr>
      <w:t xml:space="preserve"> of </w:t>
    </w:r>
    <w:r>
      <w:rPr>
        <w:rFonts w:ascii="Open Sans" w:hAnsi="Open Sans" w:eastAsia="Open Sans" w:cs="Open Sans"/>
        <w:color w:val="888888"/>
        <w:sz w:val="16"/>
        <w:szCs w:val="16"/>
      </w:rPr>
      <w:fldChar w:fldCharType="begin"/>
    </w:r>
    <w:r>
      <w:rPr>
        <w:rFonts w:ascii="Open Sans" w:hAnsi="Open Sans" w:eastAsia="Open Sans" w:cs="Open Sans"/>
        <w:color w:val="888888"/>
        <w:sz w:val="16"/>
        <w:szCs w:val="16"/>
      </w:rPr>
      <w:instrText xml:space="preserve"> NUMPAGES </w:instrText>
    </w:r>
    <w:r>
      <w:rPr>
        <w:rFonts w:ascii="Open Sans" w:hAnsi="Open Sans" w:eastAsia="Open Sans" w:cs="Open Sans"/>
        <w:color w:val="888888"/>
        <w:sz w:val="16"/>
        <w:szCs w:val="16"/>
      </w:rPr>
      <w:fldChar w:fldCharType="separate"/>
    </w:r>
    <w:r>
      <w:rPr>
        <w:rFonts w:ascii="Open Sans" w:hAnsi="Open Sans" w:eastAsia="Open Sans" w:cs="Open Sans"/>
        <w:color w:val="888888"/>
        <w:sz w:val="16"/>
        <w:szCs w:val="16"/>
      </w:rPr>
      <w:t>1</w:t>
    </w:r>
    <w:r>
      <w:rPr>
        <w:rFonts w:ascii="Open Sans" w:hAnsi="Open Sans" w:eastAsia="Open Sans" w:cs="Open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Dr. Farah Siddiqui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83" w:hanging="227"/>
      </w:pPr>
      <w:rPr>
        <w:rFonts w:ascii="Arial" w:hAnsi="Arial" w:cs="Arial" w:hint="default"/>
        <w:color w:val="9F1239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hAnsi="Open Sans" w:eastAsia="Open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Open Sans" w:hAnsi="Open Sans" w:eastAsia="Open Sans" w:cs="Mukta"/>
      <w:color w:val="1E1E1E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Open Sans" w:hAnsi="Open Sans" w:eastAsia="Open Sans" w:cs="Mukta"/>
      <w:b w:val="0"/>
      <w:i w:val="0"/>
      <w:caps w:val="0"/>
      <w:smallCaps w:val="0"/>
      <w:color w:val="1E1E1E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Montserrat" w:hAnsi="Montserrat" w:eastAsia="Montserrat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Open Sans" w:hAnsi="Open Sans" w:eastAsia="Open Sans" w:cs="Mukta"/>
      <w:b w:val="0"/>
      <w:i w:val="0"/>
      <w:caps w:val="0"/>
      <w:smallCaps w:val="0"/>
      <w:color w:val="1E1E1E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Open Sans" w:hAnsi="Open Sans" w:eastAsia="Open Sans" w:cs="Mukta"/>
      <w:b w:val="0"/>
      <w:i w:val="0"/>
      <w:caps w:val="0"/>
      <w:smallCaps w:val="0"/>
      <w:color w:val="555555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Montserrat" w:hAnsi="Montserrat" w:eastAsia="Montserrat" w:cs="Mukta"/>
      <w:b/>
      <w:bCs/>
      <w:i w:val="0"/>
      <w:caps/>
      <w:smallCaps w:val="0"/>
      <w:color w:val="9F1239"/>
      <w:spacing w:val="28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Open Sans" w:hAnsi="Open Sans" w:eastAsia="Open Sans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Open Sans" w:hAnsi="Open Sans" w:eastAsia="Open Sans" w:cs="Mukta"/>
      <w:b/>
      <w:bCs/>
      <w:i w:val="0"/>
      <w:caps w:val="0"/>
      <w:smallCaps w:val="0"/>
      <w:color w:val="1E1E1E"/>
      <w:sz w:val="19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Open Sans" w:hAnsi="Open Sans" w:eastAsia="Open Sans" w:cs="Mukta"/>
      <w:b w:val="0"/>
      <w:i/>
      <w:caps w:val="0"/>
      <w:smallCaps w:val="0"/>
      <w:color w:val="444444"/>
      <w:sz w:val="19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Open Sans" w:hAnsi="Open Sans" w:eastAsia="Open Sans" w:cs="Mukta"/>
      <w:b w:val="0"/>
      <w:i w:val="0"/>
      <w:caps w:val="0"/>
      <w:smallCaps w:val="0"/>
      <w:color w:val="1E1E1E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Open Sans" w:hAnsi="Open Sans" w:eastAsia="Open Sans" w:cs="Mukta"/>
      <w:b w:val="0"/>
      <w:i w:val="0"/>
      <w:caps w:val="0"/>
      <w:smallCaps w:val="0"/>
      <w:color w:val="1E1E1E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 Header · Overline Rules — Professor (History)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