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  <w:pBdr>
          <w:top w:val="single" w:sz="48" w:space="14" w:color="78350F"/>
        </w:pBdr>
        <w:spacing w:before="0"/>
      </w:pPr>
      <w:r>
        <w:t>Dr. Arvind Pillai</w:t>
      </w:r>
    </w:p>
    <w:p>
      <w:pPr>
        <w:pStyle w:val="Role"/>
      </w:pPr>
      <w:r>
        <w:t>Assistant Professor, Structural Engineering</w:t>
      </w:r>
    </w:p>
    <w:p>
      <w:pPr>
        <w:pStyle w:val="Contact"/>
        <w:pBdr>
          <w:bottom w:val="single" w:sz="4" w:space="6" w:color="BBBBBB"/>
        </w:pBdr>
      </w:pPr>
      <w:r>
        <w:t>Kochi, India</w:t>
      </w:r>
      <w:r>
        <w:rPr>
          <w:color w:val="78350F"/>
        </w:rPr>
        <w:t xml:space="preserve">   |   </w:t>
      </w:r>
      <w:r>
        <w:t>+91 94470 44556</w:t>
      </w:r>
      <w:r>
        <w:rPr>
          <w:color w:val="78350F"/>
        </w:rPr>
        <w:t xml:space="preserve">   |   </w:t>
      </w:r>
      <w:r>
        <w:t>arvind.pillai@university.edu</w:t>
      </w:r>
      <w:r>
        <w:rPr>
          <w:color w:val="78350F"/>
        </w:rPr>
        <w:t xml:space="preserve">   |   </w:t>
      </w:r>
      <w:r>
        <w:t>arvindpillai.in</w:t>
      </w:r>
    </w:p>
    <w:p>
      <w:pPr>
        <w:pStyle w:val="SectionHeading"/>
        <w:pBdr>
          <w:left w:val="single" w:sz="30" w:space="5" w:color="78350F"/>
        </w:pBdr>
      </w:pPr>
      <w:r>
        <w:t>Profile</w:t>
      </w:r>
    </w:p>
    <w:p>
      <w:pPr>
        <w:pStyle w:val="Summary"/>
        <w:ind w:left="1531" w:right="0"/>
      </w:pPr>
      <w:r>
        <w:t>Structural engineer researching safer, low-carbon buildings and bridges. Combines laboratory testing, sensors and simulation, with consulting experience on 30+ public structures.</w:t>
      </w:r>
    </w:p>
    <w:p>
      <w:pPr>
        <w:pStyle w:val="SectionHeading"/>
        <w:pBdr>
          <w:left w:val="single" w:sz="30" w:space="5" w:color="78350F"/>
        </w:pBdr>
      </w:pPr>
      <w:r>
        <w:t>Education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8"/>
          <w:szCs w:val="19"/>
        </w:rPr>
        <w:t>2013 – 2018</w:t>
      </w:r>
      <w:r>
        <w:tab/>
      </w:r>
      <w:r>
        <w:t>Ph.D., Structural Engineering</w:t>
      </w:r>
    </w:p>
    <w:p>
      <w:pPr>
        <w:pStyle w:val="EntryMeta"/>
        <w:ind w:left="1531" w:right="0"/>
      </w:pPr>
      <w:r>
        <w:t>Northern Institute of Engineering &amp; Technology</w:t>
      </w:r>
    </w:p>
    <w:p>
      <w:pPr>
        <w:pStyle w:val="BodyText"/>
        <w:ind w:left="1531" w:right="0"/>
      </w:pPr>
      <w:r>
        <w:t>Thesis: Seismic retrofit of unreinforced masonry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8"/>
          <w:szCs w:val="19"/>
        </w:rPr>
        <w:t>2011 – 2013</w:t>
      </w:r>
      <w:r>
        <w:tab/>
      </w:r>
      <w:r>
        <w:t>M.Tech., Structural Engineering</w:t>
      </w:r>
    </w:p>
    <w:p>
      <w:pPr>
        <w:pStyle w:val="EntryMeta"/>
        <w:ind w:left="1531" w:right="0"/>
      </w:pPr>
      <w:r>
        <w:t>Northern Institute of Engineering &amp; Technology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8"/>
          <w:szCs w:val="19"/>
        </w:rPr>
        <w:t>2007 – 2011</w:t>
      </w:r>
      <w:r>
        <w:tab/>
      </w:r>
      <w:r>
        <w:t>B.Tech., Civil Engineering</w:t>
      </w:r>
    </w:p>
    <w:p>
      <w:pPr>
        <w:pStyle w:val="EntryMeta"/>
        <w:ind w:left="1531" w:right="0"/>
      </w:pPr>
      <w:r>
        <w:t>Deccan Valley University</w:t>
      </w:r>
    </w:p>
    <w:p>
      <w:pPr>
        <w:pStyle w:val="SectionHeading"/>
        <w:pBdr>
          <w:left w:val="single" w:sz="30" w:space="5" w:color="78350F"/>
        </w:pBdr>
      </w:pPr>
      <w:r>
        <w:t>Research Experience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8"/>
          <w:szCs w:val="19"/>
        </w:rPr>
        <w:t>2019 – Present</w:t>
      </w:r>
      <w:r>
        <w:tab/>
      </w:r>
      <w:r>
        <w:t>Assistant Professor</w:t>
      </w:r>
    </w:p>
    <w:p>
      <w:pPr>
        <w:pStyle w:val="EntryMeta"/>
        <w:ind w:left="1531" w:right="0"/>
      </w:pPr>
      <w:r>
        <w:t>Coromandel Institute of Technology</w:t>
      </w:r>
    </w:p>
    <w:p>
      <w:pPr>
        <w:pStyle w:val="ResumeBullet"/>
      </w:pPr>
      <w:r>
        <w:t>Run the structures lab; supervise 4 Ph.D. and 9 M.Tech. students.</w:t>
      </w:r>
    </w:p>
    <w:p>
      <w:pPr>
        <w:pStyle w:val="ResumeBullet"/>
      </w:pPr>
      <w:r>
        <w:t>Developed a low-cost retrofit kit tested on 12 school buildings.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8"/>
          <w:szCs w:val="19"/>
        </w:rPr>
        <w:t>2018 – 2019</w:t>
      </w:r>
      <w:r>
        <w:tab/>
      </w:r>
      <w:r>
        <w:t>Postdoctoral Researcher</w:t>
      </w:r>
    </w:p>
    <w:p>
      <w:pPr>
        <w:pStyle w:val="EntryMeta"/>
        <w:ind w:left="1531" w:right="0"/>
      </w:pPr>
      <w:r>
        <w:t>Hollins Institute of Technology</w:t>
      </w:r>
    </w:p>
    <w:p>
      <w:pPr>
        <w:pStyle w:val="ResumeBullet"/>
      </w:pPr>
      <w:r>
        <w:t>Built sensor networks for monitoring two highway bridges.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8"/>
          <w:szCs w:val="19"/>
        </w:rPr>
        <w:t>2011 – 2013</w:t>
      </w:r>
      <w:r>
        <w:tab/>
      </w:r>
      <w:r>
        <w:t>Design Engineer</w:t>
      </w:r>
    </w:p>
    <w:p>
      <w:pPr>
        <w:pStyle w:val="EntryMeta"/>
        <w:ind w:left="1531" w:right="0"/>
      </w:pPr>
      <w:r>
        <w:t>Greenfield Infra Projects</w:t>
      </w:r>
    </w:p>
    <w:p>
      <w:pPr>
        <w:pStyle w:val="ResumeBullet"/>
      </w:pPr>
      <w:r>
        <w:t>Designed foundations and superstructures for 6 residential towers.</w:t>
      </w:r>
    </w:p>
    <w:p>
      <w:pPr>
        <w:pStyle w:val="SectionHeading"/>
        <w:pBdr>
          <w:left w:val="single" w:sz="30" w:space="5" w:color="78350F"/>
        </w:pBdr>
      </w:pPr>
      <w:r>
        <w:t>Publications</w:t>
      </w:r>
    </w:p>
    <w:p>
      <w:pPr>
        <w:pStyle w:val="Citation"/>
      </w:pPr>
      <w:r>
        <w:t xml:space="preserve">Iyer, M., </w:t>
      </w:r>
      <w:r>
        <w:rPr>
          <w:b/>
          <w:bCs/>
        </w:rPr>
        <w:t>Pillai, A.</w:t>
      </w:r>
      <w:r>
        <w:t>, Okafor, D., &amp; Fischer, A.</w:t>
      </w:r>
      <w:r>
        <w:t xml:space="preserve"> (2026). Revisiting bridge health monitoring with sensors. </w:t>
      </w:r>
      <w:r>
        <w:rPr>
          <w:i/>
        </w:rPr>
        <w:t>Earthquake Resilience Letters</w:t>
      </w:r>
      <w:r>
        <w:t>, 11(9), 212–232.</w:t>
      </w:r>
    </w:p>
    <w:p>
      <w:pPr>
        <w:pStyle w:val="Citation"/>
      </w:pPr>
      <w:r/>
      <w:r>
        <w:rPr>
          <w:b/>
          <w:bCs/>
        </w:rPr>
        <w:t>Pillai, A.</w:t>
      </w:r>
      <w:r>
        <w:t>, &amp; Menon, V.</w:t>
      </w:r>
      <w:r>
        <w:t xml:space="preserve"> (2026). Measuring digital twins for flyovers. </w:t>
      </w:r>
      <w:r>
        <w:rPr>
          <w:i/>
        </w:rPr>
        <w:t>Journal of Structural Engineering Practice</w:t>
      </w:r>
      <w:r>
        <w:t>, 26(8), 426–435.</w:t>
      </w:r>
    </w:p>
    <w:p>
      <w:pPr>
        <w:pStyle w:val="Citation"/>
      </w:pPr>
      <w:r>
        <w:t xml:space="preserve">Chen, L., </w:t>
      </w:r>
      <w:r>
        <w:rPr>
          <w:b/>
          <w:bCs/>
        </w:rPr>
        <w:t>Pillai, A.</w:t>
      </w:r>
      <w:r>
        <w:t>, &amp; Okafor, D.</w:t>
      </w:r>
      <w:r>
        <w:t xml:space="preserve"> (2026). Scaling low-carbon cement blends. </w:t>
      </w:r>
      <w:r>
        <w:rPr>
          <w:i/>
        </w:rPr>
        <w:t>International Conference on Sustainable Infrastructure</w:t>
      </w:r>
      <w:r>
        <w:t>, pp. 375–384.</w:t>
      </w:r>
    </w:p>
    <w:p>
      <w:pPr>
        <w:pStyle w:val="Citation"/>
      </w:pPr>
      <w:r>
        <w:t xml:space="preserve">Gupta, R., </w:t>
      </w:r>
      <w:r>
        <w:rPr>
          <w:b/>
          <w:bCs/>
        </w:rPr>
        <w:t>Pillai, A.</w:t>
      </w:r>
      <w:r>
        <w:t>, &amp; Fischer, A.</w:t>
      </w:r>
      <w:r>
        <w:t xml:space="preserve"> (2025). Measuring seismic retrofitting of masonry schools. </w:t>
      </w:r>
      <w:r>
        <w:rPr>
          <w:i/>
        </w:rPr>
        <w:t>International Conference on Sustainable Infrastructure</w:t>
      </w:r>
      <w:r>
        <w:t>, pp. 429–441.</w:t>
      </w:r>
    </w:p>
    <w:p>
      <w:pPr>
        <w:pStyle w:val="Citation"/>
      </w:pPr>
      <w:r/>
      <w:r>
        <w:rPr>
          <w:b/>
          <w:bCs/>
        </w:rPr>
        <w:t>Pillai, A.</w:t>
      </w:r>
      <w:r>
        <w:t>, Banerjee, P., Chen, L., &amp; Menon, V.</w:t>
      </w:r>
      <w:r>
        <w:t xml:space="preserve"> (2025). A study of bridge health monitoring with sensors. </w:t>
      </w:r>
      <w:r>
        <w:rPr>
          <w:i/>
        </w:rPr>
        <w:t>Concrete Research Reports</w:t>
      </w:r>
      <w:r>
        <w:t>, 13(6), 756–767.</w:t>
      </w:r>
    </w:p>
    <w:p>
      <w:pPr>
        <w:pStyle w:val="Citation"/>
      </w:pPr>
      <w:r>
        <w:t xml:space="preserve">Mensah, K., Chen, L., &amp; </w:t>
      </w:r>
      <w:r>
        <w:rPr>
          <w:b/>
          <w:bCs/>
        </w:rPr>
        <w:t>Pillai, A.</w:t>
      </w:r>
      <w:r/>
      <w:r>
        <w:t xml:space="preserve"> (2025). New approaches to flood-resilient housing. </w:t>
      </w:r>
      <w:r>
        <w:rPr>
          <w:i/>
        </w:rPr>
        <w:t>International Conference on Sustainable Infrastructure</w:t>
      </w:r>
      <w:r>
        <w:t>, pp. 491–502.</w:t>
      </w:r>
    </w:p>
    <w:p>
      <w:pPr>
        <w:pStyle w:val="Citation"/>
      </w:pPr>
      <w:r>
        <w:t xml:space="preserve">Kim, J., </w:t>
      </w:r>
      <w:r>
        <w:rPr>
          <w:b/>
          <w:bCs/>
        </w:rPr>
        <w:t>Pillai, A.</w:t>
      </w:r>
      <w:r>
        <w:t>, Mensah, K., &amp; Fischer, A.</w:t>
      </w:r>
      <w:r>
        <w:t xml:space="preserve"> (2024). Designing for seismic retrofitting of masonry schools. </w:t>
      </w:r>
      <w:r>
        <w:rPr>
          <w:i/>
        </w:rPr>
        <w:t>Earthquake Resilience Letters</w:t>
      </w:r>
      <w:r>
        <w:t>, 34(11), 875–886.</w:t>
      </w:r>
    </w:p>
    <w:p>
      <w:pPr>
        <w:pStyle w:val="Citation"/>
      </w:pPr>
      <w:r>
        <w:t xml:space="preserve">Haddad, N., Banerjee, P., &amp; </w:t>
      </w:r>
      <w:r>
        <w:rPr>
          <w:b/>
          <w:bCs/>
        </w:rPr>
        <w:t>Pillai, A.</w:t>
      </w:r>
      <w:r/>
      <w:r>
        <w:t xml:space="preserve"> (2024). Designing for bridge health monitoring with sensors. </w:t>
      </w:r>
      <w:r>
        <w:rPr>
          <w:i/>
        </w:rPr>
        <w:t>Bridge Engineering Review</w:t>
      </w:r>
      <w:r>
        <w:t>, 32(11), 125–147.</w:t>
      </w:r>
    </w:p>
    <w:p>
      <w:pPr>
        <w:pStyle w:val="Citation"/>
      </w:pPr>
      <w:r>
        <w:t xml:space="preserve">Iyer, M., &amp; </w:t>
      </w:r>
      <w:r>
        <w:rPr>
          <w:b/>
          <w:bCs/>
        </w:rPr>
        <w:t>Pillai, A.</w:t>
      </w:r>
      <w:r/>
      <w:r>
        <w:t xml:space="preserve"> (2024). Evidence on digital twins for flyovers. </w:t>
      </w:r>
      <w:r>
        <w:rPr>
          <w:i/>
        </w:rPr>
        <w:t>Concrete Research Reports</w:t>
      </w:r>
      <w:r>
        <w:t>, 23(10), 573–583.</w:t>
      </w:r>
    </w:p>
    <w:p>
      <w:pPr>
        <w:pStyle w:val="Citation"/>
      </w:pPr>
      <w:r/>
      <w:r>
        <w:rPr>
          <w:b/>
          <w:bCs/>
        </w:rPr>
        <w:t>Pillai, A.</w:t>
      </w:r>
      <w:r>
        <w:t>, Gupta, R., Chen, L., &amp; Kim, J.</w:t>
      </w:r>
      <w:r>
        <w:t xml:space="preserve"> (2023). Understanding fibre-reinforced concrete beams. </w:t>
      </w:r>
      <w:r>
        <w:rPr>
          <w:i/>
        </w:rPr>
        <w:t>Journal of Structural Engineering Practice</w:t>
      </w:r>
      <w:r>
        <w:t>, 31(12), 285–302.</w:t>
      </w:r>
    </w:p>
    <w:p>
      <w:pPr>
        <w:pStyle w:val="Citation"/>
      </w:pPr>
      <w:r>
        <w:t xml:space="preserve">Menon, V., </w:t>
      </w:r>
      <w:r>
        <w:rPr>
          <w:b/>
          <w:bCs/>
        </w:rPr>
        <w:t>Pillai, A.</w:t>
      </w:r>
      <w:r>
        <w:t>, &amp; Okafor, D.</w:t>
      </w:r>
      <w:r>
        <w:t xml:space="preserve"> (2023). New approaches to bridge health monitoring with sensors. </w:t>
      </w:r>
      <w:r>
        <w:rPr>
          <w:i/>
        </w:rPr>
        <w:t>Earthquake Resilience Letters</w:t>
      </w:r>
      <w:r>
        <w:t>, 44(12), 185–196.</w:t>
      </w:r>
    </w:p>
    <w:p>
      <w:pPr>
        <w:pStyle w:val="Citation"/>
      </w:pPr>
      <w:r/>
      <w:r>
        <w:rPr>
          <w:b/>
          <w:bCs/>
        </w:rPr>
        <w:t>Pillai, A.</w:t>
      </w:r>
      <w:r>
        <w:t>, Chen, L., &amp; Gupta, R.</w:t>
      </w:r>
      <w:r>
        <w:t xml:space="preserve"> (2023). Measuring low-carbon cement blends. </w:t>
      </w:r>
      <w:r>
        <w:rPr>
          <w:i/>
        </w:rPr>
        <w:t>Concrete Research Reports</w:t>
      </w:r>
      <w:r>
        <w:t>, 37(9), 811–829.</w:t>
      </w:r>
    </w:p>
    <w:p>
      <w:pPr>
        <w:pStyle w:val="Citation"/>
      </w:pPr>
      <w:r>
        <w:t xml:space="preserve">Rao, S., &amp; </w:t>
      </w:r>
      <w:r>
        <w:rPr>
          <w:b/>
          <w:bCs/>
        </w:rPr>
        <w:t>Pillai, A.</w:t>
      </w:r>
      <w:r/>
      <w:r>
        <w:t xml:space="preserve"> (2022). Understanding fibre-reinforced concrete beams. </w:t>
      </w:r>
      <w:r>
        <w:rPr>
          <w:i/>
        </w:rPr>
        <w:t>International Conference on Sustainable Infrastructure</w:t>
      </w:r>
      <w:r>
        <w:t>, pp. 372–381.</w:t>
      </w:r>
    </w:p>
    <w:p>
      <w:pPr>
        <w:pStyle w:val="Citation"/>
      </w:pPr>
      <w:r>
        <w:t xml:space="preserve">Chen, L., Menon, V., &amp; </w:t>
      </w:r>
      <w:r>
        <w:rPr>
          <w:b/>
          <w:bCs/>
        </w:rPr>
        <w:t>Pillai, A.</w:t>
      </w:r>
      <w:r/>
      <w:r>
        <w:t xml:space="preserve"> (2022). Evidence on flood-resilient housing. </w:t>
      </w:r>
      <w:r>
        <w:rPr>
          <w:i/>
        </w:rPr>
        <w:t>Bridge Engineering Review</w:t>
      </w:r>
      <w:r>
        <w:t>, 36(11), 883–905.</w:t>
      </w:r>
    </w:p>
    <w:p>
      <w:pPr>
        <w:pStyle w:val="Citation"/>
      </w:pPr>
      <w:r>
        <w:t xml:space="preserve">Banerjee, P., </w:t>
      </w:r>
      <w:r>
        <w:rPr>
          <w:b/>
          <w:bCs/>
        </w:rPr>
        <w:t>Pillai, A.</w:t>
      </w:r>
      <w:r>
        <w:t>, &amp; Sato, Y.</w:t>
      </w:r>
      <w:r>
        <w:t xml:space="preserve"> (2022). Towards bridge health monitoring with sensors. </w:t>
      </w:r>
      <w:r>
        <w:rPr>
          <w:i/>
        </w:rPr>
        <w:t>International Conference on Sustainable Infrastructure</w:t>
      </w:r>
      <w:r>
        <w:t>, pp. 421–430.</w:t>
      </w:r>
    </w:p>
    <w:p>
      <w:pPr>
        <w:pStyle w:val="Citation"/>
      </w:pPr>
      <w:r>
        <w:t xml:space="preserve">Haddad, N., &amp; </w:t>
      </w:r>
      <w:r>
        <w:rPr>
          <w:b/>
          <w:bCs/>
        </w:rPr>
        <w:t>Pillai, A.</w:t>
      </w:r>
      <w:r/>
      <w:r>
        <w:t xml:space="preserve"> (2021). Towards flood-resilient housing. </w:t>
      </w:r>
      <w:r>
        <w:rPr>
          <w:i/>
        </w:rPr>
        <w:t>Concrete Research Reports</w:t>
      </w:r>
      <w:r>
        <w:t>, 22(9), 539–554.</w:t>
      </w:r>
    </w:p>
    <w:p>
      <w:pPr>
        <w:pStyle w:val="SectionHeading"/>
        <w:pBdr>
          <w:left w:val="single" w:sz="30" w:space="5" w:color="78350F"/>
        </w:pBdr>
      </w:pPr>
      <w:r>
        <w:t>Conference Presentations &amp; Invited Talks</w:t>
      </w:r>
    </w:p>
    <w:p>
      <w:pPr>
        <w:pStyle w:val="ResumeBullet"/>
      </w:pPr>
      <w:r>
        <w:t>Invited talk: “Evidence on digital twins for flyovers”, Symposium on Structural Engineering Practice, Pune, 2026.</w:t>
      </w:r>
    </w:p>
    <w:p>
      <w:pPr>
        <w:pStyle w:val="ResumeBullet"/>
      </w:pPr>
      <w:r>
        <w:t>Contributed talk: “Evidence on digital twins for flyovers”, Earthquake Resilience Letters, Chennai, 2026.</w:t>
      </w:r>
    </w:p>
    <w:p>
      <w:pPr>
        <w:pStyle w:val="ResumeBullet"/>
      </w:pPr>
      <w:r>
        <w:t>Seminar: “Measuring low-carbon cement blends”, International Conference on Sustainable Infrastructure, Singapore, 2025.</w:t>
      </w:r>
    </w:p>
    <w:p>
      <w:pPr>
        <w:pStyle w:val="ResumeBullet"/>
      </w:pPr>
      <w:r>
        <w:t>Invited talk: “New approaches to seismic retrofitting of masonry schools”, Earthquake Resilience Letters, Berlin, 2025.</w:t>
      </w:r>
    </w:p>
    <w:p>
      <w:pPr>
        <w:pStyle w:val="ResumeBullet"/>
      </w:pPr>
      <w:r>
        <w:t>Contributed talk: “Understanding digital twins for flyovers”, Earthquake Resilience Letters, Hyderabad, 2024.</w:t>
      </w:r>
    </w:p>
    <w:p>
      <w:pPr>
        <w:pStyle w:val="ResumeBullet"/>
      </w:pPr>
      <w:r>
        <w:t>Keynote: “Scaling low-carbon cement blends”, Concrete Research Reports, Berlin, 2024.</w:t>
      </w:r>
    </w:p>
    <w:p>
      <w:pPr>
        <w:pStyle w:val="ResumeBullet"/>
      </w:pPr>
      <w:r>
        <w:t>Keynote: “Scaling digital twins for flyovers”, Concrete Research Reports, Bengaluru, 2023.</w:t>
      </w:r>
    </w:p>
    <w:p>
      <w:pPr>
        <w:pStyle w:val="SectionHeading"/>
        <w:pBdr>
          <w:left w:val="single" w:sz="30" w:space="5" w:color="78350F"/>
        </w:pBdr>
      </w:pPr>
      <w:r>
        <w:t>Teaching</w:t>
      </w:r>
    </w:p>
    <w:p>
      <w:pPr>
        <w:pStyle w:val="ResumeBullet"/>
      </w:pPr>
      <w:r>
        <w:t>Design of Concrete Structures (B.Tech.)</w:t>
      </w:r>
    </w:p>
    <w:p>
      <w:pPr>
        <w:pStyle w:val="ResumeBullet"/>
      </w:pPr>
      <w:r>
        <w:t>Earthquake Engineering (M.Tech.)</w:t>
      </w:r>
    </w:p>
    <w:p>
      <w:pPr>
        <w:pStyle w:val="ResumeBullet"/>
      </w:pPr>
      <w:r>
        <w:t>Structural Health Monitoring (elective)</w:t>
      </w:r>
    </w:p>
    <w:p>
      <w:pPr>
        <w:pStyle w:val="SectionHeading"/>
        <w:pBdr>
          <w:left w:val="single" w:sz="30" w:space="5" w:color="78350F"/>
        </w:pBdr>
      </w:pPr>
      <w:r>
        <w:t>Grants, Awards &amp; Honours</w:t>
      </w:r>
    </w:p>
    <w:p>
      <w:pPr>
        <w:pStyle w:val="ResumeBullet"/>
      </w:pPr>
      <w:r>
        <w:t>PI, state disaster authority grant on school safety (2021–2024), ₹85 lakh</w:t>
      </w:r>
    </w:p>
    <w:p>
      <w:pPr>
        <w:pStyle w:val="ResumeBullet"/>
      </w:pPr>
      <w:r>
        <w:t>Young Engineer Award, national engineering academy (2022)</w:t>
      </w:r>
    </w:p>
    <w:p>
      <w:pPr>
        <w:pStyle w:val="ResumeBullet"/>
      </w:pPr>
      <w:r>
        <w:t>Best Paper, International Conference on Sustainable Infrastructure (2020)</w:t>
      </w:r>
    </w:p>
    <w:p>
      <w:pPr>
        <w:pStyle w:val="SectionHeading"/>
        <w:pBdr>
          <w:left w:val="single" w:sz="30" w:space="5" w:color="78350F"/>
        </w:pBdr>
      </w:pPr>
      <w:r>
        <w:t>Professional Service</w:t>
      </w:r>
    </w:p>
    <w:p>
      <w:pPr>
        <w:pStyle w:val="ResumeBullet"/>
      </w:pPr>
      <w:r>
        <w:t>Member, state committee for building code revision (2023–present)</w:t>
      </w:r>
    </w:p>
    <w:p>
      <w:pPr>
        <w:pStyle w:val="ResumeBullet"/>
      </w:pPr>
      <w:r>
        <w:t>Consultant for structural audits of 30+ public buildings</w:t>
      </w:r>
    </w:p>
    <w:p>
      <w:pPr>
        <w:pStyle w:val="SectionHeading"/>
        <w:pBdr>
          <w:left w:val="single" w:sz="30" w:space="5" w:color="78350F"/>
        </w:pBdr>
      </w:pPr>
      <w:r>
        <w:t>Skills</w:t>
      </w:r>
    </w:p>
    <w:p>
      <w:pPr>
        <w:pStyle w:val="BodyText"/>
        <w:ind w:left="1531" w:right="0"/>
      </w:pPr>
      <w:r>
        <w:rPr>
          <w:b/>
          <w:bCs/>
        </w:rPr>
        <w:t xml:space="preserve">Analysis: </w:t>
      </w:r>
      <w:r>
        <w:t>ETABS, SAP2000, OpenSees, ABAQUS</w:t>
      </w:r>
    </w:p>
    <w:p>
      <w:pPr>
        <w:pStyle w:val="BodyText"/>
        <w:ind w:left="1531" w:right="0"/>
      </w:pPr>
      <w:r>
        <w:rPr>
          <w:b/>
          <w:bCs/>
        </w:rPr>
        <w:t xml:space="preserve">Lab: </w:t>
      </w:r>
      <w:r>
        <w:t>Shake-table and quasi-static testing, sensor instrumentation</w:t>
      </w:r>
    </w:p>
    <w:p>
      <w:pPr>
        <w:pStyle w:val="BodyText"/>
        <w:ind w:left="1531" w:right="0"/>
      </w:pPr>
      <w:r>
        <w:rPr>
          <w:b/>
          <w:bCs/>
        </w:rPr>
        <w:t xml:space="preserve">Codes: </w:t>
      </w:r>
      <w:r>
        <w:t>IS 456, IS 1893, IS 13920</w:t>
      </w:r>
    </w:p>
    <w:p>
      <w:pPr>
        <w:pStyle w:val="BodyText"/>
        <w:ind w:left="1531" w:right="0"/>
      </w:pPr>
      <w:r>
        <w:rPr>
          <w:b/>
          <w:bCs/>
        </w:rPr>
        <w:t xml:space="preserve">Languages: </w:t>
      </w:r>
      <w:r>
        <w:t>English, Malayalam (native), Hindi, Tamil</w:t>
      </w:r>
    </w:p>
    <w:p>
      <w:pPr>
        <w:pStyle w:val="SectionHeading"/>
        <w:pBdr>
          <w:left w:val="single" w:sz="30" w:space="5" w:color="78350F"/>
        </w:pBdr>
      </w:pPr>
      <w:r>
        <w:t>References</w:t>
      </w:r>
    </w:p>
    <w:p>
      <w:pPr>
        <w:pStyle w:val="BodyText"/>
        <w:keepNext/>
        <w:spacing w:after="0"/>
        <w:ind w:left="1531" w:right="0"/>
      </w:pPr>
      <w:r>
        <w:rPr>
          <w:b/>
          <w:bCs/>
        </w:rPr>
        <w:t>Prof. J. Kim</w:t>
      </w:r>
    </w:p>
    <w:p>
      <w:pPr>
        <w:pStyle w:val="BodyText"/>
        <w:keepNext/>
        <w:spacing w:after="0"/>
        <w:ind w:left="1531" w:right="0"/>
      </w:pPr>
      <w:r>
        <w:t>Professor, Hollins Institute of Technology</w:t>
      </w:r>
    </w:p>
    <w:p>
      <w:pPr>
        <w:pStyle w:val="BodyText"/>
        <w:spacing w:after="100"/>
        <w:ind w:left="1531" w:right="0"/>
      </w:pPr>
      <w:r>
        <w:t>j.kim@university.edu</w:t>
      </w:r>
    </w:p>
    <w:p>
      <w:pPr>
        <w:pStyle w:val="BodyText"/>
        <w:keepNext/>
        <w:spacing w:after="0"/>
        <w:ind w:left="1531" w:right="0"/>
      </w:pPr>
      <w:r>
        <w:rPr>
          <w:b/>
          <w:bCs/>
        </w:rPr>
        <w:t>Prof. R. Menon</w:t>
      </w:r>
    </w:p>
    <w:p>
      <w:pPr>
        <w:pStyle w:val="BodyText"/>
        <w:keepNext/>
        <w:spacing w:after="0"/>
        <w:ind w:left="1531" w:right="0"/>
      </w:pPr>
      <w:r>
        <w:t>Professor, Northern Institute of Engineering &amp; Technology</w:t>
      </w:r>
    </w:p>
    <w:p>
      <w:pPr>
        <w:pStyle w:val="BodyText"/>
        <w:spacing w:after="100"/>
        <w:ind w:left="1531" w:right="0"/>
      </w:pPr>
      <w:r>
        <w:t>r.menon@university.edu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1191" w:bottom="1020" w:left="1191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ontserrat" w:hAnsi="Montserrat" w:eastAsia="Montserrat" w:cs="Montserrat"/>
        <w:color w:val="888888"/>
        <w:sz w:val="16"/>
        <w:szCs w:val="16"/>
      </w:rPr>
      <w:t xml:space="preserve">Page </w:t>
    </w:r>
    <w:r>
      <w:rPr>
        <w:rFonts w:ascii="Montserrat" w:hAnsi="Montserrat" w:eastAsia="Montserrat" w:cs="Montserrat"/>
        <w:color w:val="888888"/>
        <w:sz w:val="16"/>
        <w:szCs w:val="16"/>
      </w:rPr>
      <w:fldChar w:fldCharType="begin"/>
    </w:r>
    <w:r>
      <w:rPr>
        <w:rFonts w:ascii="Montserrat" w:hAnsi="Montserrat" w:eastAsia="Montserrat" w:cs="Montserrat"/>
        <w:color w:val="888888"/>
        <w:sz w:val="16"/>
        <w:szCs w:val="16"/>
      </w:rPr>
      <w:instrText xml:space="preserve"> PAGE </w:instrText>
    </w:r>
    <w:r>
      <w:rPr>
        <w:rFonts w:ascii="Montserrat" w:hAnsi="Montserrat" w:eastAsia="Montserrat" w:cs="Montserrat"/>
        <w:color w:val="888888"/>
        <w:sz w:val="16"/>
        <w:szCs w:val="16"/>
      </w:rPr>
      <w:fldChar w:fldCharType="separate"/>
    </w:r>
    <w:r>
      <w:rPr>
        <w:rFonts w:ascii="Montserrat" w:hAnsi="Montserrat" w:eastAsia="Montserrat" w:cs="Montserrat"/>
        <w:color w:val="888888"/>
        <w:sz w:val="16"/>
        <w:szCs w:val="16"/>
      </w:rPr>
      <w:t>1</w:t>
    </w:r>
    <w:r>
      <w:rPr>
        <w:rFonts w:ascii="Montserrat" w:hAnsi="Montserrat" w:eastAsia="Montserrat" w:cs="Montserrat"/>
        <w:color w:val="888888"/>
        <w:sz w:val="16"/>
        <w:szCs w:val="16"/>
      </w:rPr>
      <w:fldChar w:fldCharType="end"/>
    </w:r>
    <w:r>
      <w:rPr>
        <w:rFonts w:ascii="Montserrat" w:hAnsi="Montserrat" w:eastAsia="Montserrat" w:cs="Montserrat"/>
        <w:color w:val="888888"/>
        <w:sz w:val="16"/>
        <w:szCs w:val="16"/>
      </w:rPr>
      <w:t xml:space="preserve"> of </w:t>
    </w:r>
    <w:r>
      <w:rPr>
        <w:rFonts w:ascii="Montserrat" w:hAnsi="Montserrat" w:eastAsia="Montserrat" w:cs="Montserrat"/>
        <w:color w:val="888888"/>
        <w:sz w:val="16"/>
        <w:szCs w:val="16"/>
      </w:rPr>
      <w:fldChar w:fldCharType="begin"/>
    </w:r>
    <w:r>
      <w:rPr>
        <w:rFonts w:ascii="Montserrat" w:hAnsi="Montserrat" w:eastAsia="Montserrat" w:cs="Montserrat"/>
        <w:color w:val="888888"/>
        <w:sz w:val="16"/>
        <w:szCs w:val="16"/>
      </w:rPr>
      <w:instrText xml:space="preserve"> NUMPAGES </w:instrText>
    </w:r>
    <w:r>
      <w:rPr>
        <w:rFonts w:ascii="Montserrat" w:hAnsi="Montserrat" w:eastAsia="Montserrat" w:cs="Montserrat"/>
        <w:color w:val="888888"/>
        <w:sz w:val="16"/>
        <w:szCs w:val="16"/>
      </w:rPr>
      <w:fldChar w:fldCharType="separate"/>
    </w:r>
    <w:r>
      <w:rPr>
        <w:rFonts w:ascii="Montserrat" w:hAnsi="Montserrat" w:eastAsia="Montserrat" w:cs="Montserrat"/>
        <w:color w:val="888888"/>
        <w:sz w:val="16"/>
        <w:szCs w:val="16"/>
      </w:rPr>
      <w:t>1</w:t>
    </w:r>
    <w:r>
      <w:rPr>
        <w:rFonts w:ascii="Montserrat" w:hAnsi="Montserrat" w:eastAsia="Montserrat" w:cs="Montserrat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ontserrat" w:hAnsi="Montserrat" w:eastAsia="Montserrat" w:cs="Montserrat"/>
        <w:color w:val="888888"/>
        <w:sz w:val="16"/>
        <w:szCs w:val="16"/>
      </w:rPr>
      <w:t xml:space="preserve">Page </w:t>
    </w:r>
    <w:r>
      <w:rPr>
        <w:rFonts w:ascii="Montserrat" w:hAnsi="Montserrat" w:eastAsia="Montserrat" w:cs="Montserrat"/>
        <w:color w:val="888888"/>
        <w:sz w:val="16"/>
        <w:szCs w:val="16"/>
      </w:rPr>
      <w:fldChar w:fldCharType="begin"/>
    </w:r>
    <w:r>
      <w:rPr>
        <w:rFonts w:ascii="Montserrat" w:hAnsi="Montserrat" w:eastAsia="Montserrat" w:cs="Montserrat"/>
        <w:color w:val="888888"/>
        <w:sz w:val="16"/>
        <w:szCs w:val="16"/>
      </w:rPr>
      <w:instrText xml:space="preserve"> PAGE </w:instrText>
    </w:r>
    <w:r>
      <w:rPr>
        <w:rFonts w:ascii="Montserrat" w:hAnsi="Montserrat" w:eastAsia="Montserrat" w:cs="Montserrat"/>
        <w:color w:val="888888"/>
        <w:sz w:val="16"/>
        <w:szCs w:val="16"/>
      </w:rPr>
      <w:fldChar w:fldCharType="separate"/>
    </w:r>
    <w:r>
      <w:rPr>
        <w:rFonts w:ascii="Montserrat" w:hAnsi="Montserrat" w:eastAsia="Montserrat" w:cs="Montserrat"/>
        <w:color w:val="888888"/>
        <w:sz w:val="16"/>
        <w:szCs w:val="16"/>
      </w:rPr>
      <w:t>1</w:t>
    </w:r>
    <w:r>
      <w:rPr>
        <w:rFonts w:ascii="Montserrat" w:hAnsi="Montserrat" w:eastAsia="Montserrat" w:cs="Montserrat"/>
        <w:color w:val="888888"/>
        <w:sz w:val="16"/>
        <w:szCs w:val="16"/>
      </w:rPr>
      <w:fldChar w:fldCharType="end"/>
    </w:r>
    <w:r>
      <w:rPr>
        <w:rFonts w:ascii="Montserrat" w:hAnsi="Montserrat" w:eastAsia="Montserrat" w:cs="Montserrat"/>
        <w:color w:val="888888"/>
        <w:sz w:val="16"/>
        <w:szCs w:val="16"/>
      </w:rPr>
      <w:t xml:space="preserve"> of </w:t>
    </w:r>
    <w:r>
      <w:rPr>
        <w:rFonts w:ascii="Montserrat" w:hAnsi="Montserrat" w:eastAsia="Montserrat" w:cs="Montserrat"/>
        <w:color w:val="888888"/>
        <w:sz w:val="16"/>
        <w:szCs w:val="16"/>
      </w:rPr>
      <w:fldChar w:fldCharType="begin"/>
    </w:r>
    <w:r>
      <w:rPr>
        <w:rFonts w:ascii="Montserrat" w:hAnsi="Montserrat" w:eastAsia="Montserrat" w:cs="Montserrat"/>
        <w:color w:val="888888"/>
        <w:sz w:val="16"/>
        <w:szCs w:val="16"/>
      </w:rPr>
      <w:instrText xml:space="preserve"> NUMPAGES </w:instrText>
    </w:r>
    <w:r>
      <w:rPr>
        <w:rFonts w:ascii="Montserrat" w:hAnsi="Montserrat" w:eastAsia="Montserrat" w:cs="Montserrat"/>
        <w:color w:val="888888"/>
        <w:sz w:val="16"/>
        <w:szCs w:val="16"/>
      </w:rPr>
      <w:fldChar w:fldCharType="separate"/>
    </w:r>
    <w:r>
      <w:rPr>
        <w:rFonts w:ascii="Montserrat" w:hAnsi="Montserrat" w:eastAsia="Montserrat" w:cs="Montserrat"/>
        <w:color w:val="888888"/>
        <w:sz w:val="16"/>
        <w:szCs w:val="16"/>
      </w:rPr>
      <w:t>1</w:t>
    </w:r>
    <w:r>
      <w:rPr>
        <w:rFonts w:ascii="Montserrat" w:hAnsi="Montserrat" w:eastAsia="Montserrat" w:cs="Montserrat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524" w:val="right"/>
      </w:tabs>
      <w:jc w:val="left"/>
    </w:pPr>
    <w:r>
      <w:rPr>
        <w:color w:val="777777"/>
        <w:sz w:val="17"/>
        <w:szCs w:val="17"/>
      </w:rPr>
      <w:t>Dr. Arvind Pillai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›"/>
      <w:lvlJc w:val="left"/>
      <w:pPr>
        <w:ind w:left="1814" w:hanging="227"/>
      </w:pPr>
      <w:rPr>
        <w:rFonts w:ascii="Arial" w:hAnsi="Arial" w:cs="Arial" w:hint="default"/>
        <w:color w:val="78350F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ontserrat" w:hAnsi="Montserrat" w:eastAsia="Montserrat" w:cs="Mukt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Montserrat" w:hAnsi="Montserrat" w:eastAsia="Montserrat" w:cs="Mukta"/>
      <w:color w:val="1E1E1E"/>
      <w:sz w:val="19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Montserrat" w:hAnsi="Montserrat" w:eastAsia="Montserrat" w:cs="Mukta"/>
      <w:b w:val="0"/>
      <w:i w:val="0"/>
      <w:caps w:val="0"/>
      <w:smallCaps w:val="0"/>
      <w:color w:val="1E1E1E"/>
      <w:sz w:val="19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Cormorant Garamond" w:hAnsi="Cormorant Garamond" w:eastAsia="Cormorant Garamond" w:cs="Mukta"/>
      <w:b/>
      <w:bCs/>
      <w:i w:val="0"/>
      <w:caps/>
      <w:smallCaps w:val="0"/>
      <w:color w:val="1E1E1E"/>
      <w:spacing w:val="40"/>
      <w:sz w:val="52"/>
      <w:szCs w:val="52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Montserrat" w:hAnsi="Montserrat" w:eastAsia="Montserrat" w:cs="Mukta"/>
      <w:b w:val="0"/>
      <w:i w:val="0"/>
      <w:caps w:val="0"/>
      <w:smallCaps w:val="0"/>
      <w:color w:val="1E1E1E"/>
      <w:sz w:val="21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Montserrat" w:hAnsi="Montserrat" w:eastAsia="Montserrat" w:cs="Mukta"/>
      <w:b w:val="0"/>
      <w:i w:val="0"/>
      <w:caps w:val="0"/>
      <w:smallCaps w:val="0"/>
      <w:color w:val="555555"/>
      <w:sz w:val="17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Cormorant Garamond" w:hAnsi="Cormorant Garamond" w:eastAsia="Cormorant Garamond" w:cs="Mukta"/>
      <w:b/>
      <w:bCs/>
      <w:i w:val="0"/>
      <w:caps/>
      <w:smallCaps w:val="0"/>
      <w:color w:val="78350F"/>
      <w:spacing w:val="28"/>
      <w:sz w:val="22"/>
      <w:szCs w:val="23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Montserrat" w:hAnsi="Montserrat" w:eastAsia="Montserrat" w:cs="Mukta"/>
      <w:b w:val="0"/>
      <w:i w:val="0"/>
      <w:caps w:val="0"/>
      <w:smallCaps w:val="0"/>
      <w:color w:val="1E1E1E"/>
      <w:sz w:val="19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Montserrat" w:hAnsi="Montserrat" w:eastAsia="Montserrat" w:cs="Mukta"/>
      <w:b/>
      <w:bCs/>
      <w:i w:val="0"/>
      <w:caps w:val="0"/>
      <w:smallCaps w:val="0"/>
      <w:color w:val="1E1E1E"/>
      <w:sz w:val="19"/>
      <w:szCs w:val="20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Montserrat" w:hAnsi="Montserrat" w:eastAsia="Montserrat" w:cs="Mukta"/>
      <w:b w:val="0"/>
      <w:i/>
      <w:caps w:val="0"/>
      <w:smallCaps w:val="0"/>
      <w:color w:val="444444"/>
      <w:sz w:val="19"/>
      <w:szCs w:val="20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1984" w:hanging="454"/>
    </w:pPr>
    <w:rPr>
      <w:rFonts w:ascii="Montserrat" w:hAnsi="Montserrat" w:eastAsia="Montserrat" w:cs="Mukta"/>
      <w:b w:val="0"/>
      <w:i w:val="0"/>
      <w:caps w:val="0"/>
      <w:smallCaps w:val="0"/>
      <w:color w:val="1E1E1E"/>
      <w:sz w:val="18"/>
      <w:szCs w:val="19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1814" w:hanging="227"/>
    </w:pPr>
    <w:rPr>
      <w:rFonts w:ascii="Montserrat" w:hAnsi="Montserrat" w:eastAsia="Montserrat" w:cs="Mukta"/>
      <w:b w:val="0"/>
      <w:i w:val="0"/>
      <w:caps w:val="0"/>
      <w:smallCaps w:val="0"/>
      <w:color w:val="1E1E1E"/>
      <w:sz w:val="19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 Strip · Side Bars — Engineering Faculty (Civil)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