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Dr. Asha Fernandes</w:t>
      </w:r>
    </w:p>
    <w:p>
      <w:pPr>
        <w:pStyle w:val="Role"/>
        <w:tabs>
          <w:tab w:pos="9638" w:val="right"/>
        </w:tabs>
      </w:pPr>
      <w:r>
        <w:t>MBBS, MD (Paediatrics), Fellowship in Neonatology</w:t>
      </w:r>
      <w:r>
        <w:tab/>
      </w:r>
      <w:r>
        <w:rPr>
          <w:i w:val="0"/>
          <w:color w:val="555555"/>
          <w:sz w:val="21"/>
          <w:szCs w:val="21"/>
        </w:rPr>
        <w:t>asha.fernandes@hospital.example</w:t>
      </w:r>
    </w:p>
    <w:p>
      <w:pPr>
        <w:pStyle w:val="Contact"/>
        <w:pBdr>
          <w:bottom w:val="single" w:sz="12" w:space="6" w:color="B91C1C"/>
        </w:pBdr>
        <w:tabs>
          <w:tab w:pos="9638" w:val="right"/>
        </w:tabs>
      </w:pPr>
      <w:r>
        <w:t>Goa, India</w:t>
      </w:r>
      <w:r>
        <w:tab/>
      </w:r>
      <w:r>
        <w:t>+91 98220 15937</w:t>
      </w:r>
    </w:p>
    <w:p>
      <w:pPr>
        <w:pStyle w:val="SectionHeading"/>
        <w:pBdr>
          <w:bottom w:val="single" w:sz="4" w:space="2" w:color="B91C1C"/>
        </w:pBdr>
      </w:pPr>
      <w:r>
        <w:t>Profile</w:t>
      </w:r>
    </w:p>
    <w:p>
      <w:pPr>
        <w:pStyle w:val="Summary"/>
      </w:pPr>
      <w:r>
        <w:t>Consultant paediatrician and neonatologist with 11 years of experience, running a 30-bed level-III NICU. Leads quality-improvement programmes that cut neonatal sepsis and improved survival of preterm babies.</w:t>
      </w:r>
    </w:p>
    <w:p>
      <w:pPr>
        <w:pStyle w:val="SectionHeading"/>
        <w:pBdr>
          <w:bottom w:val="single" w:sz="4" w:space="2" w:color="B91C1C"/>
        </w:pBdr>
      </w:pPr>
      <w:r>
        <w:t>Clinical Appointments</w:t>
      </w:r>
    </w:p>
    <w:p>
      <w:pPr>
        <w:pStyle w:val="EntryTitle"/>
        <w:tabs>
          <w:tab w:pos="9638" w:val="right"/>
        </w:tabs>
      </w:pPr>
      <w:r>
        <w:t>Consultant Neonatologist &amp; Head of NICU</w:t>
      </w:r>
      <w:r>
        <w:tab/>
      </w:r>
      <w:r>
        <w:rPr>
          <w:b w:val="0"/>
          <w:i w:val="0"/>
          <w:color w:val="555555"/>
        </w:rPr>
        <w:t>2018 – Present</w:t>
      </w:r>
    </w:p>
    <w:p>
      <w:pPr>
        <w:pStyle w:val="EntryMeta"/>
      </w:pPr>
      <w:r>
        <w:t>Seabreeze Mother and Child Hospital, Goa</w:t>
      </w:r>
    </w:p>
    <w:p>
      <w:pPr>
        <w:pStyle w:val="ResumeBullet"/>
      </w:pPr>
      <w:r>
        <w:t>Run a 30-bed level-III NICU with 1,400 admissions a year.</w:t>
      </w:r>
    </w:p>
    <w:p>
      <w:pPr>
        <w:pStyle w:val="ResumeBullet"/>
      </w:pPr>
      <w:r>
        <w:t>Cut late-onset sepsis by 40% through a hand-hygiene and line-care bundle (sample data).</w:t>
      </w:r>
    </w:p>
    <w:p>
      <w:pPr>
        <w:pStyle w:val="ResumeBullet"/>
      </w:pPr>
      <w:r>
        <w:t>Started a kangaroo mother care ward and a follow-up clinic for preterm babies.</w:t>
      </w:r>
    </w:p>
    <w:p>
      <w:pPr>
        <w:pStyle w:val="EntryTitle"/>
        <w:tabs>
          <w:tab w:pos="9638" w:val="right"/>
        </w:tabs>
      </w:pPr>
      <w:r>
        <w:t>Senior Resident, Neonatology</w:t>
      </w:r>
      <w:r>
        <w:tab/>
      </w:r>
      <w:r>
        <w:rPr>
          <w:b w:val="0"/>
          <w:i w:val="0"/>
          <w:color w:val="555555"/>
        </w:rPr>
        <w:t>2016 – 2018</w:t>
      </w:r>
    </w:p>
    <w:p>
      <w:pPr>
        <w:pStyle w:val="EntryMeta"/>
      </w:pPr>
      <w:r>
        <w:t>Western Coast Institute of Child Health</w:t>
      </w:r>
    </w:p>
    <w:p>
      <w:pPr>
        <w:pStyle w:val="ResumeBullet"/>
      </w:pPr>
      <w:r>
        <w:t>Managed ventilated preterm infants; taught neonatal resuscitation to 200 nurses.</w:t>
      </w:r>
    </w:p>
    <w:p>
      <w:pPr>
        <w:pStyle w:val="EntryTitle"/>
        <w:tabs>
          <w:tab w:pos="9638" w:val="right"/>
        </w:tabs>
      </w:pPr>
      <w:r>
        <w:t>Junior Resident, Paediatrics</w:t>
      </w:r>
      <w:r>
        <w:tab/>
      </w:r>
      <w:r>
        <w:rPr>
          <w:b w:val="0"/>
          <w:i w:val="0"/>
          <w:color w:val="555555"/>
        </w:rPr>
        <w:t>2011 – 2014</w:t>
      </w:r>
    </w:p>
    <w:p>
      <w:pPr>
        <w:pStyle w:val="EntryMeta"/>
      </w:pPr>
      <w:r>
        <w:t>Konkan Medical College Hospital</w:t>
      </w:r>
    </w:p>
    <w:p>
      <w:pPr>
        <w:pStyle w:val="ResumeBullet"/>
      </w:pPr>
      <w:r>
        <w:t>Three-year residency in general paediatrics and paediatric emergency.</w:t>
      </w:r>
    </w:p>
    <w:p>
      <w:pPr>
        <w:pStyle w:val="SectionHeading"/>
        <w:pBdr>
          <w:bottom w:val="single" w:sz="4" w:space="2" w:color="B91C1C"/>
        </w:pBdr>
      </w:pPr>
      <w:r>
        <w:t>Certifications &amp; Registrations</w:t>
      </w:r>
    </w:p>
    <w:p>
      <w:pPr>
        <w:pStyle w:val="ResumeBullet"/>
      </w:pPr>
      <w:r>
        <w:t>Registered Medical Practitioner, state medical council (registration on file)</w:t>
      </w:r>
    </w:p>
    <w:p>
      <w:pPr>
        <w:pStyle w:val="ResumeBullet"/>
      </w:pPr>
      <w:r>
        <w:t>Neonatal Resuscitation Programme instructor</w:t>
      </w:r>
    </w:p>
    <w:p>
      <w:pPr>
        <w:pStyle w:val="ResumeBullet"/>
      </w:pPr>
      <w:r>
        <w:t>Paediatric Advanced Life Support (renewed 2025)</w:t>
      </w:r>
    </w:p>
    <w:p>
      <w:pPr>
        <w:pStyle w:val="SectionHeading"/>
        <w:pBdr>
          <w:bottom w:val="single" w:sz="4" w:space="2" w:color="B91C1C"/>
        </w:pBdr>
      </w:pPr>
      <w:r>
        <w:t>Education</w:t>
      </w:r>
    </w:p>
    <w:p>
      <w:pPr>
        <w:pStyle w:val="EntryTitle"/>
        <w:tabs>
          <w:tab w:pos="9638" w:val="right"/>
        </w:tabs>
      </w:pPr>
      <w:r>
        <w:t>Fellowship in Neonatology</w:t>
      </w:r>
      <w:r>
        <w:tab/>
      </w:r>
      <w:r>
        <w:rPr>
          <w:b w:val="0"/>
          <w:i w:val="0"/>
          <w:color w:val="555555"/>
        </w:rPr>
        <w:t>2015 – 2016</w:t>
      </w:r>
    </w:p>
    <w:p>
      <w:pPr>
        <w:pStyle w:val="EntryMeta"/>
      </w:pPr>
      <w:r>
        <w:t>Western Coast Institute of Child Health</w:t>
      </w:r>
    </w:p>
    <w:p>
      <w:pPr>
        <w:pStyle w:val="EntryTitle"/>
        <w:tabs>
          <w:tab w:pos="9638" w:val="right"/>
        </w:tabs>
      </w:pPr>
      <w:r>
        <w:t>MD, Paediatrics</w:t>
      </w:r>
      <w:r>
        <w:tab/>
      </w:r>
      <w:r>
        <w:rPr>
          <w:b w:val="0"/>
          <w:i w:val="0"/>
          <w:color w:val="555555"/>
        </w:rPr>
        <w:t>2011 – 2014</w:t>
      </w:r>
    </w:p>
    <w:p>
      <w:pPr>
        <w:pStyle w:val="EntryMeta"/>
      </w:pPr>
      <w:r>
        <w:t>Konkan Medical College</w:t>
      </w:r>
    </w:p>
    <w:p>
      <w:pPr>
        <w:pStyle w:val="BodyText"/>
      </w:pPr>
      <w:r>
        <w:t>Gold Medal</w:t>
      </w:r>
    </w:p>
    <w:p>
      <w:pPr>
        <w:pStyle w:val="EntryTitle"/>
        <w:tabs>
          <w:tab w:pos="9638" w:val="right"/>
        </w:tabs>
      </w:pPr>
      <w:r>
        <w:t>MBBS</w:t>
      </w:r>
      <w:r>
        <w:tab/>
      </w:r>
      <w:r>
        <w:rPr>
          <w:b w:val="0"/>
          <w:i w:val="0"/>
          <w:color w:val="555555"/>
        </w:rPr>
        <w:t>2004 – 2010</w:t>
      </w:r>
    </w:p>
    <w:p>
      <w:pPr>
        <w:pStyle w:val="EntryMeta"/>
      </w:pPr>
      <w:r>
        <w:t>Konkan Medical College</w:t>
      </w:r>
    </w:p>
    <w:p>
      <w:pPr>
        <w:pStyle w:val="BodyText"/>
      </w:pPr>
      <w:r>
        <w:t>Including compulsory rotating internship</w:t>
      </w:r>
    </w:p>
    <w:p>
      <w:pPr>
        <w:pStyle w:val="SectionHeading"/>
        <w:pBdr>
          <w:bottom w:val="single" w:sz="4" w:space="2" w:color="B91C1C"/>
        </w:pBdr>
      </w:pPr>
      <w:r>
        <w:t>Skills</w:t>
      </w:r>
    </w:p>
    <w:p>
      <w:pPr>
        <w:pStyle w:val="BodyText"/>
      </w:pPr>
      <w:r>
        <w:rPr>
          <w:b/>
          <w:bCs/>
        </w:rPr>
        <w:t xml:space="preserve">Clinical: </w:t>
      </w:r>
      <w:r>
        <w:t>Neonatal ventilation, surfactant therapy, cranial ultrasound, PICC lines</w:t>
      </w:r>
    </w:p>
    <w:p>
      <w:pPr>
        <w:pStyle w:val="BodyText"/>
      </w:pPr>
      <w:r>
        <w:rPr>
          <w:b/>
          <w:bCs/>
        </w:rPr>
        <w:t xml:space="preserve">Quality: </w:t>
      </w:r>
      <w:r>
        <w:t>QI methodology, clinical audits, infection-control bundles</w:t>
      </w:r>
    </w:p>
    <w:p>
      <w:pPr>
        <w:pStyle w:val="BodyText"/>
      </w:pPr>
      <w:r>
        <w:rPr>
          <w:b/>
          <w:bCs/>
        </w:rPr>
        <w:t xml:space="preserve">Languages: </w:t>
      </w:r>
      <w:r>
        <w:t>Konkani (native), English, Marathi, Hindi, Portuguese (basic)</w:t>
      </w:r>
    </w:p>
    <w:p>
      <w:pPr>
        <w:pStyle w:val="SectionHeading"/>
        <w:pBdr>
          <w:bottom w:val="single" w:sz="4" w:space="2" w:color="B91C1C"/>
        </w:pBdr>
      </w:pPr>
      <w:r>
        <w:t>Grants, Awards &amp; Honours</w:t>
      </w:r>
    </w:p>
    <w:p>
      <w:pPr>
        <w:pStyle w:val="ResumeBullet"/>
      </w:pPr>
      <w:r>
        <w:t>Best Quality Improvement Project, national neonatology forum (2022)</w:t>
      </w:r>
    </w:p>
    <w:p>
      <w:pPr>
        <w:pStyle w:val="ResumeBullet"/>
      </w:pPr>
      <w:r>
        <w:t>Dr. B. Kamat Gold Medal, Konkan Medical College (2014)</w:t>
      </w:r>
    </w:p>
    <w:p>
      <w:pPr>
        <w:pStyle w:val="SectionHeading"/>
        <w:pBdr>
          <w:bottom w:val="single" w:sz="4" w:space="2" w:color="B91C1C"/>
        </w:pBdr>
      </w:pPr>
      <w:r>
        <w:t>Publications</w:t>
      </w:r>
    </w:p>
    <w:p>
      <w:pPr>
        <w:pStyle w:val="Citation"/>
      </w:pPr>
      <w:r>
        <w:rPr>
          <w:b/>
          <w:bCs/>
          <w:color w:val="B91C1C"/>
        </w:rPr>
        <w:t xml:space="preserve">[1]  </w:t>
      </w:r>
      <w:r>
        <w:t xml:space="preserve">Sato, Y., Fischer, A., </w:t>
      </w:r>
      <w:r>
        <w:rPr>
          <w:b/>
          <w:bCs/>
        </w:rPr>
        <w:t>Fernandes, A.</w:t>
      </w:r>
      <w:r>
        <w:t>, &amp; Kim, J.</w:t>
      </w:r>
      <w:r>
        <w:t xml:space="preserve"> (2026). Understanding rotavirus vaccine impact. </w:t>
      </w:r>
      <w:r>
        <w:rPr>
          <w:i/>
        </w:rPr>
        <w:t>Neonatal Care Research</w:t>
      </w:r>
      <w:r>
        <w:t>, 8(3), 264–286.</w:t>
      </w:r>
    </w:p>
    <w:p>
      <w:pPr>
        <w:pStyle w:val="Citation"/>
      </w:pPr>
      <w:r>
        <w:rPr>
          <w:b/>
          <w:bCs/>
          <w:color w:val="B91C1C"/>
        </w:rPr>
        <w:t xml:space="preserve">[2]  </w:t>
      </w:r>
      <w:r>
        <w:t xml:space="preserve">Mensah, K., Menon, V., Kim, J., &amp; </w:t>
      </w:r>
      <w:r>
        <w:rPr>
          <w:b/>
          <w:bCs/>
        </w:rPr>
        <w:t>Fernandes, A.</w:t>
      </w:r>
      <w:r/>
      <w:r>
        <w:t xml:space="preserve"> (2026). Evidence on developmental screening in infants. </w:t>
      </w:r>
      <w:r>
        <w:rPr>
          <w:i/>
        </w:rPr>
        <w:t>Journal of Child Health</w:t>
      </w:r>
      <w:r>
        <w:t>, 13(1), 234–253.</w:t>
      </w:r>
    </w:p>
    <w:p>
      <w:pPr>
        <w:pStyle w:val="Citation"/>
      </w:pPr>
      <w:r>
        <w:rPr>
          <w:b/>
          <w:bCs/>
          <w:color w:val="B91C1C"/>
        </w:rPr>
        <w:t xml:space="preserve">[3]  </w:t>
      </w:r>
      <w:r/>
      <w:r>
        <w:rPr>
          <w:b/>
          <w:bCs/>
        </w:rPr>
        <w:t>Fernandes, A.</w:t>
      </w:r>
      <w:r>
        <w:t>, Menon, V., &amp; Okafor, D.</w:t>
      </w:r>
      <w:r>
        <w:t xml:space="preserve"> (2026). Towards childhood asthma control. </w:t>
      </w:r>
      <w:r>
        <w:rPr>
          <w:i/>
        </w:rPr>
        <w:t>Neonatal Care Research</w:t>
      </w:r>
      <w:r>
        <w:t>, 33(1), 641–653.</w:t>
      </w:r>
    </w:p>
    <w:p>
      <w:pPr>
        <w:pStyle w:val="Citation"/>
      </w:pPr>
      <w:r>
        <w:rPr>
          <w:b/>
          <w:bCs/>
          <w:color w:val="B91C1C"/>
        </w:rPr>
        <w:t xml:space="preserve">[4]  </w:t>
      </w:r>
      <w:r>
        <w:t xml:space="preserve">Banerjee, P., </w:t>
      </w:r>
      <w:r>
        <w:rPr>
          <w:b/>
          <w:bCs/>
        </w:rPr>
        <w:t>Fernandes, A.</w:t>
      </w:r>
      <w:r>
        <w:t>, Kim, J., &amp; Iyer, M.</w:t>
      </w:r>
      <w:r>
        <w:t xml:space="preserve"> (2025). Understanding kangaroo mother care outcomes. </w:t>
      </w:r>
      <w:r>
        <w:rPr>
          <w:i/>
        </w:rPr>
        <w:t>Journal of Child Health</w:t>
      </w:r>
      <w:r>
        <w:t>, 16(1), 496–505.</w:t>
      </w:r>
    </w:p>
    <w:p>
      <w:pPr>
        <w:pStyle w:val="Citation"/>
      </w:pPr>
      <w:r>
        <w:rPr>
          <w:b/>
          <w:bCs/>
          <w:color w:val="B91C1C"/>
        </w:rPr>
        <w:t xml:space="preserve">[5]  </w:t>
      </w:r>
      <w:r>
        <w:t xml:space="preserve">Fischer, A., Chen, L., </w:t>
      </w:r>
      <w:r>
        <w:rPr>
          <w:b/>
          <w:bCs/>
        </w:rPr>
        <w:t>Fernandes, A.</w:t>
      </w:r>
      <w:r>
        <w:t>, &amp; Mensah, K.</w:t>
      </w:r>
      <w:r>
        <w:t xml:space="preserve"> (2025). New approaches to childhood asthma control. </w:t>
      </w:r>
      <w:r>
        <w:rPr>
          <w:i/>
        </w:rPr>
        <w:t>Indian Journal of Paediatrics Practice</w:t>
      </w:r>
      <w:r>
        <w:t>, 48(10), 501–518.</w:t>
      </w:r>
    </w:p>
    <w:p>
      <w:pPr>
        <w:pStyle w:val="Citation"/>
      </w:pPr>
      <w:r>
        <w:rPr>
          <w:b/>
          <w:bCs/>
          <w:color w:val="B91C1C"/>
        </w:rPr>
        <w:t xml:space="preserve">[6]  </w:t>
      </w:r>
      <w:r/>
      <w:r>
        <w:rPr>
          <w:b/>
          <w:bCs/>
        </w:rPr>
        <w:t>Fernandes, A.</w:t>
      </w:r>
      <w:r>
        <w:t>, Okafor, D., &amp; Sato, Y.</w:t>
      </w:r>
      <w:r>
        <w:t xml:space="preserve"> (2025). Designing for neonatal sepsis in district hospitals. </w:t>
      </w:r>
      <w:r>
        <w:rPr>
          <w:i/>
        </w:rPr>
        <w:t>Journal of Child Health</w:t>
      </w:r>
      <w:r>
        <w:t>, 22(4), 263–283.</w:t>
      </w:r>
    </w:p>
    <w:p>
      <w:pPr>
        <w:pStyle w:val="Citation"/>
      </w:pPr>
      <w:r>
        <w:rPr>
          <w:b/>
          <w:bCs/>
          <w:color w:val="B91C1C"/>
        </w:rPr>
        <w:t xml:space="preserve">[7]  </w:t>
      </w:r>
      <w:r/>
      <w:r>
        <w:rPr>
          <w:b/>
          <w:bCs/>
        </w:rPr>
        <w:t>Fernandes, A.</w:t>
      </w:r>
      <w:r>
        <w:t>, Kim, J., Menon, V., &amp; Sato, Y.</w:t>
      </w:r>
      <w:r>
        <w:t xml:space="preserve"> (2024). Towards developmental screening in infants. </w:t>
      </w:r>
      <w:r>
        <w:rPr>
          <w:i/>
        </w:rPr>
        <w:t>Proceedings of the National Paediatric Congress</w:t>
      </w:r>
      <w:r>
        <w:t>, pp. 503–512.</w:t>
      </w:r>
    </w:p>
    <w:p>
      <w:pPr>
        <w:pStyle w:val="Citation"/>
      </w:pPr>
      <w:r>
        <w:rPr>
          <w:b/>
          <w:bCs/>
          <w:color w:val="B91C1C"/>
        </w:rPr>
        <w:t xml:space="preserve">[8]  </w:t>
      </w:r>
      <w:r>
        <w:t xml:space="preserve">Chen, L., &amp; </w:t>
      </w:r>
      <w:r>
        <w:rPr>
          <w:b/>
          <w:bCs/>
        </w:rPr>
        <w:t>Fernandes, A.</w:t>
      </w:r>
      <w:r/>
      <w:r>
        <w:t xml:space="preserve"> (2024). Designing for severe acute malnutrition management. </w:t>
      </w:r>
      <w:r>
        <w:rPr>
          <w:i/>
        </w:rPr>
        <w:t>Journal of Child Health</w:t>
      </w:r>
      <w:r>
        <w:t>, 11(1), 151–163.</w:t>
      </w:r>
    </w:p>
    <w:p>
      <w:pPr>
        <w:pStyle w:val="Citation"/>
      </w:pPr>
      <w:r>
        <w:rPr>
          <w:b/>
          <w:bCs/>
          <w:color w:val="B91C1C"/>
        </w:rPr>
        <w:t xml:space="preserve">[9]  </w:t>
      </w:r>
      <w:r>
        <w:t xml:space="preserve">Gupta, R., &amp; </w:t>
      </w:r>
      <w:r>
        <w:rPr>
          <w:b/>
          <w:bCs/>
        </w:rPr>
        <w:t>Fernandes, A.</w:t>
      </w:r>
      <w:r/>
      <w:r>
        <w:t xml:space="preserve"> (2024). Revisiting rotavirus vaccine impact. </w:t>
      </w:r>
      <w:r>
        <w:rPr>
          <w:i/>
        </w:rPr>
        <w:t>Neonatal Care Research</w:t>
      </w:r>
      <w:r>
        <w:t>, 31(11), 344–353.</w:t>
      </w:r>
    </w:p>
    <w:p>
      <w:pPr>
        <w:pStyle w:val="SectionHeading"/>
        <w:pBdr>
          <w:bottom w:val="single" w:sz="4" w:space="2" w:color="B91C1C"/>
        </w:pBdr>
      </w:pPr>
      <w:r>
        <w:t>Conference Presentations &amp; Invited Talks</w:t>
      </w:r>
    </w:p>
    <w:p>
      <w:pPr>
        <w:pStyle w:val="ResumeBullet"/>
      </w:pPr>
      <w:r>
        <w:t>Poster: “Understanding neonatal sepsis in district hospitals”, Neonatal Care Research, Pune, 2026.</w:t>
      </w:r>
    </w:p>
    <w:p>
      <w:pPr>
        <w:pStyle w:val="ResumeBullet"/>
      </w:pPr>
      <w:r>
        <w:t>Seminar: “Scaling kangaroo mother care outcomes”, Symposium on Child Health, Melbourne, 2026.</w:t>
      </w:r>
    </w:p>
    <w:p>
      <w:pPr>
        <w:pStyle w:val="ResumeBullet"/>
      </w:pPr>
      <w:r>
        <w:t>Seminar: “Revisiting kangaroo mother care outcomes”, Symposium on Child Health, Hyderabad, 2025.</w:t>
      </w:r>
    </w:p>
    <w:p>
      <w:pPr>
        <w:pStyle w:val="ResumeBullet"/>
      </w:pPr>
      <w:r>
        <w:t>Contributed talk: “Measuring rotavirus vaccine impact”, Proceedings of the National Paediatric Congress, Melbourne, 2025.</w:t>
      </w:r>
    </w:p>
    <w:p>
      <w:pPr>
        <w:pStyle w:val="ResumeBullet"/>
      </w:pPr>
      <w:r>
        <w:t>Poster: “Rethinking rotavirus vaccine impact”, Proceedings of the National Paediatric Congress, New Delhi, 2024.</w:t>
      </w:r>
    </w:p>
    <w:p>
      <w:pPr>
        <w:pStyle w:val="SectionHeading"/>
        <w:pBdr>
          <w:bottom w:val="single" w:sz="4" w:space="2" w:color="B91C1C"/>
        </w:pBdr>
      </w:pPr>
      <w:r>
        <w:t>Teaching</w:t>
      </w:r>
    </w:p>
    <w:p>
      <w:pPr>
        <w:pStyle w:val="ResumeBullet"/>
      </w:pPr>
      <w:r>
        <w:t>DNB Paediatrics faculty and thesis guide (2019–present)</w:t>
      </w:r>
    </w:p>
    <w:p>
      <w:pPr>
        <w:pStyle w:val="ResumeBullet"/>
      </w:pPr>
      <w:r>
        <w:t>Neonatal resuscitation instructor for district hospital teams</w:t>
      </w:r>
    </w:p>
    <w:p>
      <w:pPr>
        <w:pStyle w:val="SectionHeading"/>
        <w:pBdr>
          <w:bottom w:val="single" w:sz="4" w:space="2" w:color="B91C1C"/>
        </w:pBdr>
      </w:pPr>
      <w:r>
        <w:t>Professional Service</w:t>
      </w:r>
    </w:p>
    <w:p>
      <w:pPr>
        <w:pStyle w:val="ResumeBullet"/>
      </w:pPr>
      <w:r>
        <w:t>Executive member, state neonatology chapter</w:t>
      </w:r>
    </w:p>
    <w:p>
      <w:pPr>
        <w:pStyle w:val="ResumeBullet"/>
      </w:pPr>
      <w:r>
        <w:t>Volunteer paediatrician, monthly tribal health camps</w:t>
      </w:r>
    </w:p>
    <w:p>
      <w:pPr>
        <w:pStyle w:val="SectionHeading"/>
        <w:pBdr>
          <w:bottom w:val="single" w:sz="4" w:space="2" w:color="B91C1C"/>
        </w:pBdr>
      </w:pPr>
      <w:r>
        <w:t>References</w:t>
      </w:r>
    </w:p>
    <w:p>
      <w:pPr>
        <w:pStyle w:val="BodyText"/>
        <w:keepNext/>
        <w:spacing w:after="0"/>
      </w:pPr>
      <w:r>
        <w:rPr>
          <w:b/>
          <w:bCs/>
        </w:rPr>
        <w:t>Dr. V. Naik</w:t>
      </w:r>
    </w:p>
    <w:p>
      <w:pPr>
        <w:pStyle w:val="BodyText"/>
        <w:keepNext/>
        <w:spacing w:after="0"/>
      </w:pPr>
      <w:r>
        <w:t>Medical Director, Seabreeze Mother and Child Hospital</w:t>
      </w:r>
    </w:p>
    <w:p>
      <w:pPr>
        <w:pStyle w:val="BodyText"/>
        <w:spacing w:after="100"/>
      </w:pPr>
      <w:r>
        <w:t>v.naik@hospital.example</w:t>
      </w:r>
    </w:p>
    <w:p>
      <w:pPr>
        <w:pStyle w:val="BodyText"/>
        <w:keepNext/>
        <w:spacing w:after="0"/>
      </w:pPr>
      <w:r>
        <w:rPr>
          <w:b/>
          <w:bCs/>
        </w:rPr>
        <w:t>Prof. R. D'Souza</w:t>
      </w:r>
    </w:p>
    <w:p>
      <w:pPr>
        <w:pStyle w:val="BodyText"/>
        <w:keepNext/>
        <w:spacing w:after="0"/>
      </w:pPr>
      <w:r>
        <w:t>Head, Paediatrics, Konkan Medical College</w:t>
      </w:r>
    </w:p>
    <w:p>
      <w:pPr>
        <w:pStyle w:val="BodyText"/>
        <w:spacing w:after="100"/>
      </w:pPr>
      <w:r>
        <w:t>r.dsouza@college.edu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020" w:right="1134" w:bottom="1020" w:left="1134" w:header="510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rimson Pro" w:hAnsi="Crimson Pro" w:eastAsia="Crimson Pro" w:cs="Crimson Pro"/>
        <w:color w:val="888888"/>
        <w:sz w:val="16"/>
        <w:szCs w:val="16"/>
      </w:rPr>
      <w:t xml:space="preserve">Page </w:t>
    </w:r>
    <w:r>
      <w:rPr>
        <w:rFonts w:ascii="Crimson Pro" w:hAnsi="Crimson Pro" w:eastAsia="Crimson Pro" w:cs="Crimson Pro"/>
        <w:color w:val="888888"/>
        <w:sz w:val="16"/>
        <w:szCs w:val="16"/>
      </w:rPr>
      <w:fldChar w:fldCharType="begin"/>
    </w:r>
    <w:r>
      <w:rPr>
        <w:rFonts w:ascii="Crimson Pro" w:hAnsi="Crimson Pro" w:eastAsia="Crimson Pro" w:cs="Crimson Pro"/>
        <w:color w:val="888888"/>
        <w:sz w:val="16"/>
        <w:szCs w:val="16"/>
      </w:rPr>
      <w:instrText xml:space="preserve"> PAGE </w:instrText>
    </w:r>
    <w:r>
      <w:rPr>
        <w:rFonts w:ascii="Crimson Pro" w:hAnsi="Crimson Pro" w:eastAsia="Crimson Pro" w:cs="Crimson Pro"/>
        <w:color w:val="888888"/>
        <w:sz w:val="16"/>
        <w:szCs w:val="16"/>
      </w:rPr>
      <w:fldChar w:fldCharType="separate"/>
    </w:r>
    <w:r>
      <w:rPr>
        <w:rFonts w:ascii="Crimson Pro" w:hAnsi="Crimson Pro" w:eastAsia="Crimson Pro" w:cs="Crimson Pro"/>
        <w:color w:val="888888"/>
        <w:sz w:val="16"/>
        <w:szCs w:val="16"/>
      </w:rPr>
      <w:t>1</w:t>
    </w:r>
    <w:r>
      <w:rPr>
        <w:rFonts w:ascii="Crimson Pro" w:hAnsi="Crimson Pro" w:eastAsia="Crimson Pro" w:cs="Crimson Pro"/>
        <w:color w:val="888888"/>
        <w:sz w:val="16"/>
        <w:szCs w:val="16"/>
      </w:rPr>
      <w:fldChar w:fldCharType="end"/>
    </w:r>
    <w:r>
      <w:rPr>
        <w:rFonts w:ascii="Crimson Pro" w:hAnsi="Crimson Pro" w:eastAsia="Crimson Pro" w:cs="Crimson Pro"/>
        <w:color w:val="888888"/>
        <w:sz w:val="16"/>
        <w:szCs w:val="16"/>
      </w:rPr>
      <w:t xml:space="preserve"> of </w:t>
    </w:r>
    <w:r>
      <w:rPr>
        <w:rFonts w:ascii="Crimson Pro" w:hAnsi="Crimson Pro" w:eastAsia="Crimson Pro" w:cs="Crimson Pro"/>
        <w:color w:val="888888"/>
        <w:sz w:val="16"/>
        <w:szCs w:val="16"/>
      </w:rPr>
      <w:fldChar w:fldCharType="begin"/>
    </w:r>
    <w:r>
      <w:rPr>
        <w:rFonts w:ascii="Crimson Pro" w:hAnsi="Crimson Pro" w:eastAsia="Crimson Pro" w:cs="Crimson Pro"/>
        <w:color w:val="888888"/>
        <w:sz w:val="16"/>
        <w:szCs w:val="16"/>
      </w:rPr>
      <w:instrText xml:space="preserve"> NUMPAGES </w:instrText>
    </w:r>
    <w:r>
      <w:rPr>
        <w:rFonts w:ascii="Crimson Pro" w:hAnsi="Crimson Pro" w:eastAsia="Crimson Pro" w:cs="Crimson Pro"/>
        <w:color w:val="888888"/>
        <w:sz w:val="16"/>
        <w:szCs w:val="16"/>
      </w:rPr>
      <w:fldChar w:fldCharType="separate"/>
    </w:r>
    <w:r>
      <w:rPr>
        <w:rFonts w:ascii="Crimson Pro" w:hAnsi="Crimson Pro" w:eastAsia="Crimson Pro" w:cs="Crimson Pro"/>
        <w:color w:val="888888"/>
        <w:sz w:val="16"/>
        <w:szCs w:val="16"/>
      </w:rPr>
      <w:t>1</w:t>
    </w:r>
    <w:r>
      <w:rPr>
        <w:rFonts w:ascii="Crimson Pro" w:hAnsi="Crimson Pro" w:eastAsia="Crimson Pro" w:cs="Crimson Pro"/>
        <w:color w:val="888888"/>
        <w:sz w:val="16"/>
        <w:szCs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rimson Pro" w:hAnsi="Crimson Pro" w:eastAsia="Crimson Pro" w:cs="Crimson Pro"/>
        <w:color w:val="888888"/>
        <w:sz w:val="16"/>
        <w:szCs w:val="16"/>
      </w:rPr>
      <w:t xml:space="preserve">Page </w:t>
    </w:r>
    <w:r>
      <w:rPr>
        <w:rFonts w:ascii="Crimson Pro" w:hAnsi="Crimson Pro" w:eastAsia="Crimson Pro" w:cs="Crimson Pro"/>
        <w:color w:val="888888"/>
        <w:sz w:val="16"/>
        <w:szCs w:val="16"/>
      </w:rPr>
      <w:fldChar w:fldCharType="begin"/>
    </w:r>
    <w:r>
      <w:rPr>
        <w:rFonts w:ascii="Crimson Pro" w:hAnsi="Crimson Pro" w:eastAsia="Crimson Pro" w:cs="Crimson Pro"/>
        <w:color w:val="888888"/>
        <w:sz w:val="16"/>
        <w:szCs w:val="16"/>
      </w:rPr>
      <w:instrText xml:space="preserve"> PAGE </w:instrText>
    </w:r>
    <w:r>
      <w:rPr>
        <w:rFonts w:ascii="Crimson Pro" w:hAnsi="Crimson Pro" w:eastAsia="Crimson Pro" w:cs="Crimson Pro"/>
        <w:color w:val="888888"/>
        <w:sz w:val="16"/>
        <w:szCs w:val="16"/>
      </w:rPr>
      <w:fldChar w:fldCharType="separate"/>
    </w:r>
    <w:r>
      <w:rPr>
        <w:rFonts w:ascii="Crimson Pro" w:hAnsi="Crimson Pro" w:eastAsia="Crimson Pro" w:cs="Crimson Pro"/>
        <w:color w:val="888888"/>
        <w:sz w:val="16"/>
        <w:szCs w:val="16"/>
      </w:rPr>
      <w:t>1</w:t>
    </w:r>
    <w:r>
      <w:rPr>
        <w:rFonts w:ascii="Crimson Pro" w:hAnsi="Crimson Pro" w:eastAsia="Crimson Pro" w:cs="Crimson Pro"/>
        <w:color w:val="888888"/>
        <w:sz w:val="16"/>
        <w:szCs w:val="16"/>
      </w:rPr>
      <w:fldChar w:fldCharType="end"/>
    </w:r>
    <w:r>
      <w:rPr>
        <w:rFonts w:ascii="Crimson Pro" w:hAnsi="Crimson Pro" w:eastAsia="Crimson Pro" w:cs="Crimson Pro"/>
        <w:color w:val="888888"/>
        <w:sz w:val="16"/>
        <w:szCs w:val="16"/>
      </w:rPr>
      <w:t xml:space="preserve"> of </w:t>
    </w:r>
    <w:r>
      <w:rPr>
        <w:rFonts w:ascii="Crimson Pro" w:hAnsi="Crimson Pro" w:eastAsia="Crimson Pro" w:cs="Crimson Pro"/>
        <w:color w:val="888888"/>
        <w:sz w:val="16"/>
        <w:szCs w:val="16"/>
      </w:rPr>
      <w:fldChar w:fldCharType="begin"/>
    </w:r>
    <w:r>
      <w:rPr>
        <w:rFonts w:ascii="Crimson Pro" w:hAnsi="Crimson Pro" w:eastAsia="Crimson Pro" w:cs="Crimson Pro"/>
        <w:color w:val="888888"/>
        <w:sz w:val="16"/>
        <w:szCs w:val="16"/>
      </w:rPr>
      <w:instrText xml:space="preserve"> NUMPAGES </w:instrText>
    </w:r>
    <w:r>
      <w:rPr>
        <w:rFonts w:ascii="Crimson Pro" w:hAnsi="Crimson Pro" w:eastAsia="Crimson Pro" w:cs="Crimson Pro"/>
        <w:color w:val="888888"/>
        <w:sz w:val="16"/>
        <w:szCs w:val="16"/>
      </w:rPr>
      <w:fldChar w:fldCharType="separate"/>
    </w:r>
    <w:r>
      <w:rPr>
        <w:rFonts w:ascii="Crimson Pro" w:hAnsi="Crimson Pro" w:eastAsia="Crimson Pro" w:cs="Crimson Pro"/>
        <w:color w:val="888888"/>
        <w:sz w:val="16"/>
        <w:szCs w:val="16"/>
      </w:rPr>
      <w:t>1</w:t>
    </w:r>
    <w:r>
      <w:rPr>
        <w:rFonts w:ascii="Crimson Pro" w:hAnsi="Crimson Pro" w:eastAsia="Crimson Pro" w:cs="Crimson Pro"/>
        <w:color w:val="888888"/>
        <w:sz w:val="16"/>
        <w:szCs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ontact"/>
      <w:pBdr>
        <w:bottom w:val="single" w:sz="4" w:space="3" w:color="BBBBBB"/>
      </w:pBdr>
      <w:tabs>
        <w:tab w:pos="9638" w:val="right"/>
      </w:tabs>
      <w:jc w:val="left"/>
    </w:pPr>
    <w:r>
      <w:rPr>
        <w:color w:val="777777"/>
        <w:sz w:val="17"/>
        <w:szCs w:val="17"/>
      </w:rPr>
      <w:t>Dr. Asha Fernandes — Curriculum Vitae</w:t>
    </w:r>
    <w:r>
      <w:tab/>
    </w:r>
    <w:r>
      <w:rPr>
        <w:color w:val="777777"/>
        <w:sz w:val="17"/>
        <w:szCs w:val="17"/>
      </w:rPr>
      <w:t xml:space="preserve">Page </w:t>
    </w:r>
    <w:r>
      <w:rPr>
        <w:color w:val="777777"/>
        <w:sz w:val="17"/>
        <w:szCs w:val="17"/>
      </w:rPr>
      <w:fldChar w:fldCharType="begin"/>
    </w:r>
    <w:r>
      <w:rPr>
        <w:color w:val="777777"/>
        <w:sz w:val="17"/>
        <w:szCs w:val="17"/>
      </w:rPr>
      <w:instrText xml:space="preserve"> PAGE </w:instrText>
    </w:r>
    <w:r>
      <w:rPr>
        <w:color w:val="777777"/>
        <w:sz w:val="17"/>
        <w:szCs w:val="17"/>
      </w:rPr>
      <w:fldChar w:fldCharType="separate"/>
    </w:r>
    <w:r>
      <w:rPr>
        <w:color w:val="777777"/>
        <w:sz w:val="17"/>
        <w:szCs w:val="17"/>
      </w:rPr>
      <w:t>1</w:t>
    </w:r>
    <w:r>
      <w:rPr>
        <w:color w:val="777777"/>
        <w:sz w:val="17"/>
        <w:szCs w:val="17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–"/>
      <w:lvlJc w:val="left"/>
      <w:pPr>
        <w:ind w:left="283" w:hanging="227"/>
      </w:pPr>
      <w:rPr>
        <w:rFonts w:ascii="Arial" w:hAnsi="Arial" w:cs="Arial" w:hint="default"/>
        <w:color w:val="B91C1C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rimson Pro" w:hAnsi="Crimson Pro" w:eastAsia="Crimson Pro" w:cs="Tiro Devanagari Hindi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Crimson Pro" w:hAnsi="Crimson Pro" w:eastAsia="Crimson Pro" w:cs="Tiro Devanagari Hindi"/>
      <w:color w:val="1E1E1E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40" w:before="0" w:line="276" w:lineRule="auto"/>
    </w:pPr>
    <w:rPr>
      <w:rFonts w:ascii="Crimson Pro" w:hAnsi="Crimson Pro" w:eastAsia="Crimson Pro" w:cs="Tiro Devanagari Hindi"/>
      <w:b w:val="0"/>
      <w:i w:val="0"/>
      <w:caps w:val="0"/>
      <w:smallCaps w:val="0"/>
      <w:color w:val="1E1E1E"/>
      <w:sz w:val="22"/>
      <w:szCs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  <w:jc w:val="left"/>
    </w:pPr>
    <w:rPr>
      <w:rFonts w:ascii="Josefin Sans" w:hAnsi="Josefin Sans" w:eastAsia="Josefin Sans" w:cs="Tiro Devanagari Hindi"/>
      <w:b/>
      <w:bCs/>
      <w:i w:val="0"/>
      <w:caps/>
      <w:smallCaps w:val="0"/>
      <w:color w:val="1E1E1E"/>
      <w:spacing w:val="40"/>
      <w:sz w:val="52"/>
      <w:szCs w:val="52"/>
    </w:rPr>
  </w:style>
  <w:style w:type="paragraph" w:customStyle="1" w:styleId="Role">
    <w:name w:val="Role"/>
    <w:basedOn w:val="Normal"/>
    <w:qFormat/>
    <w:pPr>
      <w:keepNext w:val="0"/>
      <w:widowControl/>
      <w:spacing w:before="0" w:after="40"/>
      <w:jc w:val="left"/>
    </w:pPr>
    <w:rPr>
      <w:rFonts w:ascii="Crimson Pro" w:hAnsi="Crimson Pro" w:eastAsia="Crimson Pro" w:cs="Tiro Devanagari Hindi"/>
      <w:b w:val="0"/>
      <w:i w:val="0"/>
      <w:caps w:val="0"/>
      <w:smallCaps w:val="0"/>
      <w:color w:val="1E1E1E"/>
      <w:sz w:val="24"/>
      <w:szCs w:val="24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left"/>
    </w:pPr>
    <w:rPr>
      <w:rFonts w:ascii="Crimson Pro" w:hAnsi="Crimson Pro" w:eastAsia="Crimson Pro" w:cs="Tiro Devanagari Hindi"/>
      <w:b w:val="0"/>
      <w:i w:val="0"/>
      <w:caps w:val="0"/>
      <w:smallCaps w:val="0"/>
      <w:color w:val="555555"/>
      <w:sz w:val="20"/>
      <w:szCs w:val="20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</w:pPr>
    <w:rPr>
      <w:rFonts w:ascii="Josefin Sans" w:hAnsi="Josefin Sans" w:eastAsia="Josefin Sans" w:cs="Tiro Devanagari Hindi"/>
      <w:b/>
      <w:bCs/>
      <w:i w:val="0"/>
      <w:caps/>
      <w:smallCaps w:val="0"/>
      <w:color w:val="B91C1C"/>
      <w:spacing w:val="28"/>
      <w:sz w:val="25"/>
      <w:szCs w:val="25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8" w:lineRule="auto"/>
    </w:pPr>
    <w:rPr>
      <w:rFonts w:ascii="Crimson Pro" w:hAnsi="Crimson Pro" w:eastAsia="Crimson Pro" w:cs="Tiro Devanagari Hindi"/>
      <w:b w:val="0"/>
      <w:i w:val="0"/>
      <w:caps w:val="0"/>
      <w:smallCaps w:val="0"/>
      <w:color w:val="1E1E1E"/>
      <w:sz w:val="22"/>
      <w:szCs w:val="22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0"/>
    </w:pPr>
    <w:rPr>
      <w:rFonts w:ascii="Crimson Pro" w:hAnsi="Crimson Pro" w:eastAsia="Crimson Pro" w:cs="Tiro Devanagari Hindi"/>
      <w:b/>
      <w:bCs/>
      <w:i w:val="0"/>
      <w:caps w:val="0"/>
      <w:smallCaps w:val="0"/>
      <w:color w:val="1E1E1E"/>
      <w:sz w:val="22"/>
      <w:szCs w:val="22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Crimson Pro" w:hAnsi="Crimson Pro" w:eastAsia="Crimson Pro" w:cs="Tiro Devanagari Hindi"/>
      <w:b w:val="0"/>
      <w:i/>
      <w:caps w:val="0"/>
      <w:smallCaps w:val="0"/>
      <w:color w:val="444444"/>
      <w:sz w:val="22"/>
      <w:szCs w:val="22"/>
    </w:rPr>
  </w:style>
  <w:style w:type="paragraph" w:customStyle="1" w:styleId="Citation">
    <w:name w:val="Citation"/>
    <w:basedOn w:val="Normal"/>
    <w:qFormat/>
    <w:pPr>
      <w:keepNext w:val="0"/>
      <w:widowControl/>
      <w:spacing w:before="0" w:after="60" w:line="276" w:lineRule="auto"/>
      <w:ind w:left="454" w:hanging="454"/>
    </w:pPr>
    <w:rPr>
      <w:rFonts w:ascii="Crimson Pro" w:hAnsi="Crimson Pro" w:eastAsia="Crimson Pro" w:cs="Tiro Devanagari Hindi"/>
      <w:b w:val="0"/>
      <w:i w:val="0"/>
      <w:caps w:val="0"/>
      <w:smallCaps w:val="0"/>
      <w:color w:val="1E1E1E"/>
      <w:sz w:val="21"/>
      <w:szCs w:val="21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76" w:lineRule="auto"/>
      <w:ind w:left="283" w:hanging="227"/>
    </w:pPr>
    <w:rPr>
      <w:rFonts w:ascii="Crimson Pro" w:hAnsi="Crimson Pro" w:eastAsia="Crimson Pro" w:cs="Tiro Devanagari Hindi"/>
      <w:b w:val="0"/>
      <w:i w:val="0"/>
      <w:caps w:val="0"/>
      <w:smallCaps w:val="0"/>
      <w:color w:val="1E1E1E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Split Header · Hairline Rules — Paediatrician / Neonatologist — CV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