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pBdr>
          <w:left w:val="single" w:sz="48" w:space="12" w:color="4338CA"/>
        </w:pBdr>
        <w:ind w:left="283"/>
      </w:pPr>
      <w:r>
        <w:t>Tanvi Mehta</w:t>
      </w:r>
    </w:p>
    <w:p>
      <w:pPr>
        <w:pStyle w:val="Role"/>
        <w:pBdr>
          <w:left w:val="single" w:sz="48" w:space="12" w:color="4338CA"/>
        </w:pBdr>
        <w:ind w:left="283"/>
      </w:pPr>
      <w:r>
        <w:t>Head of Brand Marketing, Consumer Goods</w:t>
      </w:r>
    </w:p>
    <w:p>
      <w:pPr>
        <w:pStyle w:val="Contact"/>
        <w:pBdr>
          <w:left w:val="single" w:sz="48" w:space="12" w:color="4338CA"/>
        </w:pBdr>
        <w:spacing w:after="80"/>
        <w:ind w:left="283"/>
      </w:pPr>
      <w:r>
        <w:t>Mumbai, India</w:t>
      </w:r>
      <w:r>
        <w:rPr>
          <w:color w:val="4338CA"/>
        </w:rPr>
        <w:t xml:space="preserve">   |   </w:t>
      </w:r>
      <w:r>
        <w:t>+91 98201 58374</w:t>
      </w:r>
      <w:r>
        <w:rPr>
          <w:color w:val="4338CA"/>
        </w:rPr>
        <w:t xml:space="preserve">   |   </w:t>
      </w:r>
      <w:r>
        <w:t>tanvi.mehta@email.com</w:t>
      </w:r>
      <w:r>
        <w:rPr>
          <w:color w:val="4338CA"/>
        </w:rPr>
        <w:t xml:space="preserve">   |   </w:t>
      </w:r>
      <w:r>
        <w:t>linkedin.com/in/tanvimehta</w:t>
      </w:r>
    </w:p>
    <w:p>
      <w:pPr>
        <w:pStyle w:val="SectionHeading"/>
      </w:pPr>
      <w:r>
        <w:t>Profile</w:t>
      </w:r>
    </w:p>
    <w:p>
      <w:pPr>
        <w:pStyle w:val="Summary"/>
      </w:pPr>
      <w:r>
        <w:t>Brand leader with 12 years in FMCG and D2C. Built two ₹500-crore brands and launched 30+ products, with a sharp focus on regional consumers and digital-first marketing.</w:t>
      </w:r>
    </w:p>
    <w:p>
      <w:pPr>
        <w:pStyle w:val="SectionHeading"/>
      </w:pPr>
      <w:r>
        <w:t>Professional Experience</w:t>
      </w:r>
    </w:p>
    <w:p>
      <w:pPr>
        <w:pStyle w:val="EntryTitle"/>
      </w:pPr>
      <w:r>
        <w:t>Head of Brand Marketing, Personal Care</w:t>
      </w:r>
      <w:r>
        <w:rPr>
          <w:b w:val="0"/>
          <w:i/>
          <w:color w:val="4338CA"/>
          <w:sz w:val="19"/>
          <w:szCs w:val="19"/>
        </w:rPr>
        <w:t xml:space="preserve">  ·  2021 – Present</w:t>
      </w:r>
    </w:p>
    <w:p>
      <w:pPr>
        <w:pStyle w:val="EntryMeta"/>
      </w:pPr>
      <w:r>
        <w:t>Lotusleaf Consumer Products</w:t>
      </w:r>
    </w:p>
    <w:p>
      <w:pPr>
        <w:pStyle w:val="ResumeBullet"/>
      </w:pPr>
      <w:r>
        <w:t>Own a ₹1,100-crore portfolio of 4 brands and a ₹90-crore media budget.</w:t>
      </w:r>
    </w:p>
    <w:p>
      <w:pPr>
        <w:pStyle w:val="ResumeBullet"/>
      </w:pPr>
      <w:r>
        <w:t>Grew the flagship shampoo brand's share from 7.2% to 10.5% in 3 years (sample data).</w:t>
      </w:r>
    </w:p>
    <w:p>
      <w:pPr>
        <w:pStyle w:val="ResumeBullet"/>
      </w:pPr>
      <w:r>
        <w:t>Launched a regional-language creator programme with 1,200 creators.</w:t>
      </w:r>
    </w:p>
    <w:p>
      <w:pPr>
        <w:pStyle w:val="EntryTitle"/>
      </w:pPr>
      <w:r>
        <w:t>Senior Brand Manager</w:t>
      </w:r>
      <w:r>
        <w:rPr>
          <w:b w:val="0"/>
          <w:i/>
          <w:color w:val="4338CA"/>
          <w:sz w:val="19"/>
          <w:szCs w:val="19"/>
        </w:rPr>
        <w:t xml:space="preserve">  ·  2017 – 2021</w:t>
      </w:r>
    </w:p>
    <w:p>
      <w:pPr>
        <w:pStyle w:val="EntryMeta"/>
      </w:pPr>
      <w:r>
        <w:t>Saffronleaf Foods</w:t>
      </w:r>
    </w:p>
    <w:p>
      <w:pPr>
        <w:pStyle w:val="ResumeBullet"/>
      </w:pPr>
      <w:r>
        <w:t>Took a snacks brand from ₹180 crore to ₹520 crore; led 14 launches.</w:t>
      </w:r>
    </w:p>
    <w:p>
      <w:pPr>
        <w:pStyle w:val="EntryTitle"/>
      </w:pPr>
      <w:r>
        <w:t>Brand Manager</w:t>
      </w:r>
      <w:r>
        <w:rPr>
          <w:b w:val="0"/>
          <w:i/>
          <w:color w:val="4338CA"/>
          <w:sz w:val="19"/>
          <w:szCs w:val="19"/>
        </w:rPr>
        <w:t xml:space="preserve">  ·  2013 – 2017</w:t>
      </w:r>
    </w:p>
    <w:p>
      <w:pPr>
        <w:pStyle w:val="EntryMeta"/>
      </w:pPr>
      <w:r>
        <w:t>Coastal Beverages</w:t>
      </w:r>
    </w:p>
    <w:p>
      <w:pPr>
        <w:pStyle w:val="ResumeBullet"/>
      </w:pPr>
      <w:r>
        <w:t>Managed a juice brand; won a national advertising award for a monsoon campaign.</w:t>
      </w:r>
    </w:p>
    <w:p>
      <w:pPr>
        <w:pStyle w:val="SectionHeading"/>
      </w:pPr>
      <w:r>
        <w:t>Education</w:t>
      </w:r>
    </w:p>
    <w:p>
      <w:pPr>
        <w:pStyle w:val="EntryTitle"/>
      </w:pPr>
      <w:r>
        <w:t>PGDM (MBA), Marketing</w:t>
      </w:r>
      <w:r>
        <w:rPr>
          <w:b w:val="0"/>
          <w:i/>
          <w:color w:val="4338CA"/>
          <w:sz w:val="19"/>
          <w:szCs w:val="19"/>
        </w:rPr>
        <w:t xml:space="preserve">  ·  2011 – 2013</w:t>
      </w:r>
    </w:p>
    <w:p>
      <w:pPr>
        <w:pStyle w:val="EntryMeta"/>
      </w:pPr>
      <w:r>
        <w:t>Western Institute of Management</w:t>
      </w:r>
    </w:p>
    <w:p>
      <w:pPr>
        <w:pStyle w:val="BodyText"/>
      </w:pPr>
      <w:r>
        <w:t>Gold Medal for Marketing</w:t>
      </w:r>
    </w:p>
    <w:p>
      <w:pPr>
        <w:pStyle w:val="EntryTitle"/>
      </w:pPr>
      <w:r>
        <w:t>B.Com. (Hons.)</w:t>
      </w:r>
      <w:r>
        <w:rPr>
          <w:b w:val="0"/>
          <w:i/>
          <w:color w:val="4338CA"/>
          <w:sz w:val="19"/>
          <w:szCs w:val="19"/>
        </w:rPr>
        <w:t xml:space="preserve">  ·  2008 – 2011</w:t>
      </w:r>
    </w:p>
    <w:p>
      <w:pPr>
        <w:pStyle w:val="EntryMeta"/>
      </w:pPr>
      <w:r>
        <w:t>Narsee Commerce College, Mumbai</w:t>
      </w:r>
    </w:p>
    <w:p>
      <w:pPr>
        <w:pStyle w:val="SectionHeading"/>
      </w:pPr>
      <w:r>
        <w:t>Certifications</w:t>
      </w:r>
    </w:p>
    <w:p>
      <w:pPr>
        <w:pStyle w:val="ResumeBullet"/>
      </w:pPr>
      <w:r>
        <w:t>Digital Marketing Leadership programme (executive education, 2022)</w:t>
      </w:r>
    </w:p>
    <w:p>
      <w:pPr>
        <w:pStyle w:val="SectionHeading"/>
      </w:pPr>
      <w:r>
        <w:t>Awards &amp; Honours</w:t>
      </w:r>
    </w:p>
    <w:p>
      <w:pPr>
        <w:pStyle w:val="ResumeBullet"/>
      </w:pPr>
      <w:r>
        <w:t>Marketer of the Year (40 under 40), industry marketing forum (2023)</w:t>
      </w:r>
    </w:p>
    <w:p>
      <w:pPr>
        <w:pStyle w:val="ResumeBullet"/>
      </w:pPr>
      <w:r>
        <w:t>Gold, national advertising effectiveness awards (2019)</w:t>
      </w:r>
    </w:p>
    <w:p>
      <w:pPr>
        <w:pStyle w:val="SectionHeading"/>
      </w:pPr>
      <w:r>
        <w:t>Teaching &amp; Training</w:t>
      </w:r>
    </w:p>
    <w:p>
      <w:pPr>
        <w:pStyle w:val="ResumeBullet"/>
      </w:pPr>
      <w:r>
        <w:t>Guest faculty, Brand Management, Western Institute of Management (2020–present)</w:t>
      </w:r>
    </w:p>
    <w:p>
      <w:pPr>
        <w:pStyle w:val="SectionHeading"/>
      </w:pPr>
      <w:r>
        <w:t>Committees &amp; Community</w:t>
      </w:r>
    </w:p>
    <w:p>
      <w:pPr>
        <w:pStyle w:val="ResumeBullet"/>
      </w:pPr>
      <w:r>
        <w:t>Mentor to 8 women-led D2C start-ups (2021–present)</w:t>
      </w:r>
    </w:p>
    <w:p>
      <w:pPr>
        <w:pStyle w:val="ResumeBullet"/>
      </w:pPr>
      <w:r>
        <w:t>Speaker at 10 industry marketing summits</w:t>
      </w:r>
    </w:p>
    <w:p>
      <w:pPr>
        <w:pStyle w:val="SectionHeading"/>
      </w:pPr>
      <w:r>
        <w:t>Talks &amp; Presentations</w:t>
      </w:r>
    </w:p>
    <w:p>
      <w:pPr>
        <w:pStyle w:val="ResumeBullet"/>
      </w:pPr>
      <w:r>
        <w:t>Keynote: “Winning Bharat: brands for the next 500 million”, India Marketing Summit, Mumbai, 2025.</w:t>
      </w:r>
    </w:p>
    <w:p>
      <w:pPr>
        <w:pStyle w:val="ResumeBullet"/>
      </w:pPr>
      <w:r>
        <w:t>Panel: “Creators as the new media”, Digital Commerce Forum, Bengaluru, 2024.</w:t>
      </w:r>
    </w:p>
    <w:p>
      <w:pPr>
        <w:pStyle w:val="ResumeBullet"/>
      </w:pPr>
      <w:r>
        <w:t>Talk: “Regional-language advertising that sells”, Advertising Club, Mumbai, 2023.</w:t>
      </w:r>
    </w:p>
    <w:p>
      <w:pPr>
        <w:pStyle w:val="ResumeBullet"/>
      </w:pPr>
      <w:r>
        <w:t>Case session for MBA students, Western Institute of Management, 2022.</w:t>
      </w:r>
    </w:p>
    <w:p>
      <w:pPr>
        <w:pStyle w:val="SectionHeading"/>
      </w:pPr>
      <w:r>
        <w:t>Skills</w:t>
      </w:r>
    </w:p>
    <w:p>
      <w:pPr>
        <w:pStyle w:val="BodyText"/>
      </w:pPr>
      <w:r>
        <w:rPr>
          <w:b/>
          <w:bCs/>
        </w:rPr>
        <w:t xml:space="preserve">Marketing: </w:t>
      </w:r>
      <w:r>
        <w:t>Brand strategy, consumer insight, media planning, pricing, innovation funnels</w:t>
      </w:r>
    </w:p>
    <w:p>
      <w:pPr>
        <w:pStyle w:val="BodyText"/>
      </w:pPr>
      <w:r>
        <w:rPr>
          <w:b/>
          <w:bCs/>
        </w:rPr>
        <w:t xml:space="preserve">Tools: </w:t>
      </w:r>
      <w:r>
        <w:t>Nielsen data, Kantar panels, Google Analytics, Power BI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Hindi, Gujarati, Marathi</w:t>
      </w:r>
    </w:p>
    <w:p>
      <w:pPr>
        <w:pStyle w:val="SectionHeading"/>
      </w:pPr>
      <w:r>
        <w:t>References</w:t>
      </w:r>
    </w:p>
    <w:p>
      <w:pPr>
        <w:pStyle w:val="BodyText"/>
      </w:pPr>
      <w:r>
        <w:t>Available on request.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247" w:right="1247" w:bottom="1134" w:left="1247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Work Sans" w:hAnsi="Work Sans" w:eastAsia="Work Sans" w:cs="Work Sans"/>
        <w:color w:val="888888"/>
        <w:sz w:val="16"/>
        <w:szCs w:val="16"/>
      </w:rPr>
      <w:t xml:space="preserve">Page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PAGE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  <w:r>
      <w:rPr>
        <w:rFonts w:ascii="Work Sans" w:hAnsi="Work Sans" w:eastAsia="Work Sans" w:cs="Work Sans"/>
        <w:color w:val="888888"/>
        <w:sz w:val="16"/>
        <w:szCs w:val="16"/>
      </w:rPr>
      <w:t xml:space="preserve"> of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NUMPAGES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Work Sans" w:hAnsi="Work Sans" w:eastAsia="Work Sans" w:cs="Work Sans"/>
        <w:color w:val="888888"/>
        <w:sz w:val="16"/>
        <w:szCs w:val="16"/>
      </w:rPr>
      <w:t xml:space="preserve">Page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PAGE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  <w:r>
      <w:rPr>
        <w:rFonts w:ascii="Work Sans" w:hAnsi="Work Sans" w:eastAsia="Work Sans" w:cs="Work Sans"/>
        <w:color w:val="888888"/>
        <w:sz w:val="16"/>
        <w:szCs w:val="16"/>
      </w:rPr>
      <w:t xml:space="preserve"> of </w:t>
    </w:r>
    <w:r>
      <w:rPr>
        <w:rFonts w:ascii="Work Sans" w:hAnsi="Work Sans" w:eastAsia="Work Sans" w:cs="Work Sans"/>
        <w:color w:val="888888"/>
        <w:sz w:val="16"/>
        <w:szCs w:val="16"/>
      </w:rPr>
      <w:fldChar w:fldCharType="begin"/>
    </w:r>
    <w:r>
      <w:rPr>
        <w:rFonts w:ascii="Work Sans" w:hAnsi="Work Sans" w:eastAsia="Work Sans" w:cs="Work Sans"/>
        <w:color w:val="888888"/>
        <w:sz w:val="16"/>
        <w:szCs w:val="16"/>
      </w:rPr>
      <w:instrText xml:space="preserve"> NUMPAGES </w:instrText>
    </w:r>
    <w:r>
      <w:rPr>
        <w:rFonts w:ascii="Work Sans" w:hAnsi="Work Sans" w:eastAsia="Work Sans" w:cs="Work Sans"/>
        <w:color w:val="888888"/>
        <w:sz w:val="16"/>
        <w:szCs w:val="16"/>
      </w:rPr>
      <w:fldChar w:fldCharType="separate"/>
    </w:r>
    <w:r>
      <w:rPr>
        <w:rFonts w:ascii="Work Sans" w:hAnsi="Work Sans" w:eastAsia="Work Sans" w:cs="Work Sans"/>
        <w:color w:val="888888"/>
        <w:sz w:val="16"/>
        <w:szCs w:val="16"/>
      </w:rPr>
      <w:t>1</w:t>
    </w:r>
    <w:r>
      <w:rPr>
        <w:rFonts w:ascii="Work Sans" w:hAnsi="Work Sans" w:eastAsia="Work Sans" w:cs="Work Sans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411" w:val="right"/>
      </w:tabs>
      <w:jc w:val="left"/>
    </w:pPr>
    <w:r>
      <w:rPr>
        <w:color w:val="777777"/>
        <w:sz w:val="17"/>
        <w:szCs w:val="17"/>
      </w:rPr>
      <w:t>Tanvi Mehta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283" w:hanging="227"/>
      </w:pPr>
      <w:rPr>
        <w:rFonts w:ascii="Arial" w:hAnsi="Arial" w:cs="Arial" w:hint="default"/>
        <w:color w:val="4338C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Work Sans" w:hAnsi="Work Sans" w:eastAsia="Work Sans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Work Sans" w:hAnsi="Work Sans" w:eastAsia="Work Sans" w:cs="Mukta"/>
      <w:color w:val="1E1E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Work Sans" w:hAnsi="Work Sans" w:eastAsia="Work Sans" w:cs="Mukta"/>
      <w:b w:val="0"/>
      <w:i w:val="0"/>
      <w:caps w:val="0"/>
      <w:smallCaps w:val="0"/>
      <w:color w:val="1E1E1E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EB Garamond" w:hAnsi="EB Garamond" w:eastAsia="EB Garamond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Work Sans" w:hAnsi="Work Sans" w:eastAsia="Work Sans" w:cs="Mukta"/>
      <w:b w:val="0"/>
      <w:i w:val="0"/>
      <w:caps w:val="0"/>
      <w:smallCaps w:val="0"/>
      <w:color w:val="1E1E1E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Work Sans" w:hAnsi="Work Sans" w:eastAsia="Work Sans" w:cs="Mukta"/>
      <w:b w:val="0"/>
      <w:i w:val="0"/>
      <w:caps w:val="0"/>
      <w:smallCaps w:val="0"/>
      <w:color w:val="555555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EB Garamond" w:hAnsi="EB Garamond" w:eastAsia="EB Garamond" w:cs="Mukta"/>
      <w:b/>
      <w:bCs/>
      <w:i w:val="0"/>
      <w:caps/>
      <w:smallCaps w:val="0"/>
      <w:color w:val="4338CA"/>
      <w:spacing w:val="28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Work Sans" w:hAnsi="Work Sans" w:eastAsia="Work Sans" w:cs="Mukta"/>
      <w:b w:val="0"/>
      <w:i w:val="0"/>
      <w:caps w:val="0"/>
      <w:smallCaps w:val="0"/>
      <w:color w:val="1E1E1E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Work Sans" w:hAnsi="Work Sans" w:eastAsia="Work Sans" w:cs="Mukta"/>
      <w:b/>
      <w:bCs/>
      <w:i w:val="0"/>
      <w:caps w:val="0"/>
      <w:smallCaps w:val="0"/>
      <w:color w:val="1E1E1E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Work Sans" w:hAnsi="Work Sans" w:eastAsia="Work Sans" w:cs="Mukta"/>
      <w:b w:val="0"/>
      <w:i/>
      <w:caps w:val="0"/>
      <w:smallCaps w:val="0"/>
      <w:color w:val="444444"/>
      <w:sz w:val="20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Work Sans" w:hAnsi="Work Sans" w:eastAsia="Work Sans" w:cs="Mukta"/>
      <w:b w:val="0"/>
      <w:i w:val="0"/>
      <w:caps w:val="0"/>
      <w:smallCaps w:val="0"/>
      <w:color w:val="1E1E1E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Work Sans" w:hAnsi="Work Sans" w:eastAsia="Work Sans" w:cs="Mukta"/>
      <w:b w:val="0"/>
      <w:i w:val="0"/>
      <w:caps w:val="0"/>
      <w:smallCaps w:val="0"/>
      <w:color w:val="1E1E1E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Accent Bar · Plain Caps — Brand Marketing Head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