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pBdr>
          <w:top w:val="single" w:sz="48" w:space="14" w:color="15803D"/>
        </w:pBdr>
        <w:spacing w:before="0"/>
      </w:pPr>
      <w:r>
        <w:t>Shri Abhishek Yadav, IPS</w:t>
      </w:r>
    </w:p>
    <w:p>
      <w:pPr>
        <w:pStyle w:val="Role"/>
      </w:pPr>
      <w:r>
        <w:t>Inspector General of Police · Indian Police Service (2007 batch)</w:t>
      </w:r>
    </w:p>
    <w:p>
      <w:pPr>
        <w:pStyle w:val="Contact"/>
        <w:pBdr>
          <w:bottom w:val="single" w:sz="4" w:space="6" w:color="BBBBBB"/>
        </w:pBdr>
      </w:pPr>
      <w:r>
        <w:t>Bhopal, Madhya Pradesh</w:t>
      </w:r>
      <w:r>
        <w:rPr>
          <w:color w:val="15803D"/>
        </w:rPr>
        <w:t xml:space="preserve">   |   </w:t>
      </w:r>
      <w:r>
        <w:t>+91 755 XXX XXXX</w:t>
      </w:r>
      <w:r>
        <w:rPr>
          <w:color w:val="15803D"/>
        </w:rPr>
        <w:t xml:space="preserve">   |   </w:t>
      </w:r>
      <w:r>
        <w:t>abhishek.yadav@police.gov.example</w:t>
      </w:r>
    </w:p>
    <w:p>
      <w:pPr>
        <w:pStyle w:val="SectionHeading"/>
        <w:pBdr>
          <w:bottom w:val="double" w:sz="6" w:space="2" w:color="15803D"/>
        </w:pBdr>
      </w:pPr>
      <w:r>
        <w:t>Profile</w:t>
      </w:r>
    </w:p>
    <w:p>
      <w:pPr>
        <w:pStyle w:val="Summary"/>
      </w:pPr>
      <w:r>
        <w:t>Police officer with 18 years in district policing, cyber crime and counter-insurgency. Built the state's first cyber-crime fusion centre and led community-policing programmes in tribal districts.</w:t>
      </w:r>
    </w:p>
    <w:p>
      <w:pPr>
        <w:pStyle w:val="SectionHeading"/>
        <w:pBdr>
          <w:bottom w:val="double" w:sz="6" w:space="2" w:color="15803D"/>
        </w:pBdr>
      </w:pPr>
      <w:r>
        <w:t>Personal Details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Date of birth</w:t>
      </w:r>
      <w:r>
        <w:tab/>
      </w:r>
      <w:r>
        <w:t>:  22 July 1981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Service / Batch / Cadre</w:t>
      </w:r>
      <w:r>
        <w:tab/>
      </w:r>
      <w:r>
        <w:t>:  IPS, 2007, Madhya Pradesh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Present posting</w:t>
      </w:r>
      <w:r>
        <w:tab/>
      </w:r>
      <w:r>
        <w:t>:  Inspector General, Cyber &amp; Technical Services, Bhopal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Home state</w:t>
      </w:r>
      <w:r>
        <w:tab/>
      </w:r>
      <w:r>
        <w:t>:  Bihar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Languages known</w:t>
      </w:r>
      <w:r>
        <w:tab/>
      </w:r>
      <w:r>
        <w:t>:  Hindi, English, Bhojpuri</w:t>
      </w:r>
    </w:p>
    <w:p>
      <w:pPr>
        <w:pStyle w:val="SectionHeading"/>
        <w:pBdr>
          <w:bottom w:val="double" w:sz="6" w:space="2" w:color="15803D"/>
        </w:pBdr>
      </w:pPr>
      <w:r>
        <w:t>Service Record</w:t>
      </w:r>
    </w:p>
    <w:p>
      <w:pPr>
        <w:pStyle w:val="EntryTitle"/>
      </w:pPr>
      <w:r>
        <w:t>Inspector General, Cyber &amp; Technical Services</w:t>
      </w:r>
      <w:r>
        <w:rPr>
          <w:b w:val="0"/>
          <w:i/>
          <w:color w:val="15803D"/>
          <w:sz w:val="18"/>
          <w:szCs w:val="18"/>
        </w:rPr>
        <w:t xml:space="preserve">  ·  2022 – Present</w:t>
      </w:r>
    </w:p>
    <w:p>
      <w:pPr>
        <w:pStyle w:val="EntryMeta"/>
      </w:pPr>
      <w:r>
        <w:t>Police Headquarters, Bhopal</w:t>
      </w:r>
    </w:p>
    <w:p>
      <w:pPr>
        <w:pStyle w:val="ResumeBullet"/>
      </w:pPr>
      <w:r>
        <w:t>Set up a cyber-crime fusion centre and a 24x7 helpline; ₹38 crore of fraud money frozen in the first year (sample data).</w:t>
      </w:r>
    </w:p>
    <w:p>
      <w:pPr>
        <w:pStyle w:val="ResumeBullet"/>
      </w:pPr>
      <w:r>
        <w:t>Trained 2,500 officers in digital evidence handling.</w:t>
      </w:r>
    </w:p>
    <w:p>
      <w:pPr>
        <w:pStyle w:val="EntryTitle"/>
      </w:pPr>
      <w:r>
        <w:t>Deputy Inspector General, Range</w:t>
      </w:r>
      <w:r>
        <w:rPr>
          <w:b w:val="0"/>
          <w:i/>
          <w:color w:val="15803D"/>
          <w:sz w:val="18"/>
          <w:szCs w:val="18"/>
        </w:rPr>
        <w:t xml:space="preserve">  ·  2018 – 2022</w:t>
      </w:r>
    </w:p>
    <w:p>
      <w:pPr>
        <w:pStyle w:val="EntryMeta"/>
      </w:pPr>
      <w:r>
        <w:t>Gwalior Range</w:t>
      </w:r>
    </w:p>
    <w:p>
      <w:pPr>
        <w:pStyle w:val="ResumeBullet"/>
      </w:pPr>
      <w:r>
        <w:t>Supervised policing for 4 districts and 1.1 crore people; crimes against women case disposal improved by 30%.</w:t>
      </w:r>
    </w:p>
    <w:p>
      <w:pPr>
        <w:pStyle w:val="EntryTitle"/>
      </w:pPr>
      <w:r>
        <w:t>Superintendent of Police</w:t>
      </w:r>
      <w:r>
        <w:rPr>
          <w:b w:val="0"/>
          <w:i/>
          <w:color w:val="15803D"/>
          <w:sz w:val="18"/>
          <w:szCs w:val="18"/>
        </w:rPr>
        <w:t xml:space="preserve">  ·  2011 – 2018</w:t>
      </w:r>
    </w:p>
    <w:p>
      <w:pPr>
        <w:pStyle w:val="EntryMeta"/>
      </w:pPr>
      <w:r>
        <w:t>Districts of Balaghat and Ujjain</w:t>
      </w:r>
    </w:p>
    <w:p>
      <w:pPr>
        <w:pStyle w:val="ResumeBullet"/>
      </w:pPr>
      <w:r>
        <w:t>Community-policing programme "Saathi" in 120 tribal villages.</w:t>
      </w:r>
    </w:p>
    <w:p>
      <w:pPr>
        <w:pStyle w:val="ResumeBullet"/>
      </w:pPr>
      <w:r>
        <w:t>Managed security for a major religious fair with 7 crore visitors.</w:t>
      </w:r>
    </w:p>
    <w:p>
      <w:pPr>
        <w:pStyle w:val="EntryTitle"/>
      </w:pPr>
      <w:r>
        <w:t>Assistant Superintendent of Police (Probation)</w:t>
      </w:r>
      <w:r>
        <w:rPr>
          <w:b w:val="0"/>
          <w:i/>
          <w:color w:val="15803D"/>
          <w:sz w:val="18"/>
          <w:szCs w:val="18"/>
        </w:rPr>
        <w:t xml:space="preserve">  ·  2009 – 2011</w:t>
      </w:r>
    </w:p>
    <w:p>
      <w:pPr>
        <w:pStyle w:val="EntryMeta"/>
      </w:pPr>
      <w:r>
        <w:t>District of Sagar</w:t>
      </w:r>
    </w:p>
    <w:p>
      <w:pPr>
        <w:pStyle w:val="ResumeBullet"/>
      </w:pPr>
      <w:r>
        <w:t>Field training in investigation and law and order.</w:t>
      </w:r>
    </w:p>
    <w:p>
      <w:pPr>
        <w:pStyle w:val="SectionHeading"/>
        <w:pBdr>
          <w:bottom w:val="double" w:sz="6" w:space="2" w:color="15803D"/>
        </w:pBdr>
      </w:pPr>
      <w:r>
        <w:t>Education</w:t>
      </w:r>
    </w:p>
    <w:p>
      <w:pPr>
        <w:pStyle w:val="EntryTitle"/>
      </w:pPr>
      <w:r>
        <w:t>M.Tech., Computer Science</w:t>
      </w:r>
      <w:r>
        <w:rPr>
          <w:b w:val="0"/>
          <w:i/>
          <w:color w:val="15803D"/>
          <w:sz w:val="18"/>
          <w:szCs w:val="18"/>
        </w:rPr>
        <w:t xml:space="preserve">  ·  2003 – 2005</w:t>
      </w:r>
    </w:p>
    <w:p>
      <w:pPr>
        <w:pStyle w:val="EntryMeta"/>
      </w:pPr>
      <w:r>
        <w:t>Ganga Plains Institute of Technology</w:t>
      </w:r>
    </w:p>
    <w:p>
      <w:pPr>
        <w:pStyle w:val="EntryTitle"/>
      </w:pPr>
      <w:r>
        <w:t>B.Tech., Electrical Engineering</w:t>
      </w:r>
      <w:r>
        <w:rPr>
          <w:b w:val="0"/>
          <w:i/>
          <w:color w:val="15803D"/>
          <w:sz w:val="18"/>
          <w:szCs w:val="18"/>
        </w:rPr>
        <w:t xml:space="preserve">  ·  1999 – 2003</w:t>
      </w:r>
    </w:p>
    <w:p>
      <w:pPr>
        <w:pStyle w:val="EntryMeta"/>
      </w:pPr>
      <w:r>
        <w:t>Ganga Plains Institute of Technology</w:t>
      </w:r>
    </w:p>
    <w:p>
      <w:pPr>
        <w:pStyle w:val="BodyText"/>
      </w:pPr>
      <w:r>
        <w:t>First Class with Distinction</w:t>
      </w:r>
    </w:p>
    <w:p>
      <w:pPr>
        <w:pStyle w:val="SectionHeading"/>
        <w:pBdr>
          <w:bottom w:val="double" w:sz="6" w:space="2" w:color="15803D"/>
        </w:pBdr>
      </w:pPr>
      <w:r>
        <w:t>Trainings Attended</w:t>
      </w:r>
    </w:p>
    <w:p>
      <w:pPr>
        <w:pStyle w:val="ResumeBullet"/>
      </w:pPr>
      <w:r>
        <w:t>Basic training, national police academy (2007–2009)</w:t>
      </w:r>
    </w:p>
    <w:p>
      <w:pPr>
        <w:pStyle w:val="ResumeBullet"/>
      </w:pPr>
      <w:r>
        <w:t>Mid-career training programme, national police academy (2017)</w:t>
      </w:r>
    </w:p>
    <w:p>
      <w:pPr>
        <w:pStyle w:val="ResumeBullet"/>
      </w:pPr>
      <w:r>
        <w:t>Cyber forensics course, overseas police college (2019, 4 weeks)</w:t>
      </w:r>
    </w:p>
    <w:p>
      <w:pPr>
        <w:pStyle w:val="SectionHeading"/>
        <w:pBdr>
          <w:bottom w:val="double" w:sz="6" w:space="2" w:color="15803D"/>
        </w:pBdr>
      </w:pPr>
      <w:r>
        <w:t>Awards &amp; Honours</w:t>
      </w:r>
    </w:p>
    <w:p>
      <w:pPr>
        <w:pStyle w:val="ResumeBullet"/>
      </w:pPr>
      <w:r>
        <w:t>President's Police Medal for Meritorious Service (2021)</w:t>
      </w:r>
    </w:p>
    <w:p>
      <w:pPr>
        <w:pStyle w:val="ResumeBullet"/>
      </w:pPr>
      <w:r>
        <w:t>Union Home Minister's Medal for Excellence in Investigation (2016)</w:t>
      </w:r>
    </w:p>
    <w:p>
      <w:pPr>
        <w:pStyle w:val="SectionHeading"/>
        <w:pBdr>
          <w:bottom w:val="double" w:sz="6" w:space="2" w:color="15803D"/>
        </w:pBdr>
      </w:pPr>
      <w:r>
        <w:t>Publications</w:t>
      </w:r>
    </w:p>
    <w:p>
      <w:pPr>
        <w:pStyle w:val="Citation"/>
      </w:pPr>
      <w:r>
        <w:rPr>
          <w:b/>
          <w:bCs/>
          <w:color w:val="15803D"/>
        </w:rPr>
        <w:t xml:space="preserve">[1]  </w:t>
      </w:r>
      <w:r>
        <w:rPr>
          <w:b/>
          <w:bCs/>
        </w:rPr>
        <w:t>Yadav, A.</w:t>
      </w:r>
      <w:r>
        <w:t xml:space="preserve"> (2024). Building a state cyber-crime fusion centre: lessons from the first year. </w:t>
      </w:r>
      <w:r>
        <w:rPr>
          <w:i/>
        </w:rPr>
        <w:t>Indian Police Journal of Practice</w:t>
      </w:r>
      <w:r>
        <w:t>, 71(2), 33–47.</w:t>
      </w:r>
    </w:p>
    <w:p>
      <w:pPr>
        <w:pStyle w:val="Citation"/>
      </w:pPr>
      <w:r>
        <w:rPr>
          <w:b/>
          <w:bCs/>
          <w:color w:val="15803D"/>
        </w:rPr>
        <w:t xml:space="preserve">[2]  </w:t>
      </w:r>
      <w:r>
        <w:rPr>
          <w:b/>
          <w:bCs/>
        </w:rPr>
        <w:t>Yadav, A.</w:t>
      </w:r>
      <w:r>
        <w:t xml:space="preserve">, &amp; Kumar, S. (2020). Community policing in tribal districts. </w:t>
      </w:r>
      <w:r>
        <w:rPr>
          <w:i/>
        </w:rPr>
        <w:t>Journal of Rural Development Policy</w:t>
      </w:r>
      <w:r>
        <w:t>, 39(1), 88–101.</w:t>
      </w:r>
    </w:p>
    <w:p>
      <w:pPr>
        <w:pStyle w:val="Citation"/>
      </w:pPr>
      <w:r>
        <w:rPr>
          <w:b/>
          <w:bCs/>
          <w:color w:val="15803D"/>
        </w:rPr>
        <w:t xml:space="preserve">[3]  </w:t>
      </w:r>
      <w:r>
        <w:rPr>
          <w:b/>
          <w:bCs/>
        </w:rPr>
        <w:t>Yadav, A.</w:t>
      </w:r>
      <w:r>
        <w:t xml:space="preserve"> (2015). Crowd management at mass religious gatherings. </w:t>
      </w:r>
      <w:r>
        <w:rPr>
          <w:i/>
        </w:rPr>
        <w:t>Proceedings of the National Conference on Governance</w:t>
      </w:r>
      <w:r>
        <w:t>, pp. 210–219.</w:t>
      </w:r>
    </w:p>
    <w:p>
      <w:pPr>
        <w:pStyle w:val="SectionHeading"/>
        <w:pBdr>
          <w:bottom w:val="double" w:sz="6" w:space="2" w:color="15803D"/>
        </w:pBdr>
      </w:pPr>
      <w:r>
        <w:t>Talks &amp; Presentations</w:t>
      </w:r>
    </w:p>
    <w:p>
      <w:pPr>
        <w:pStyle w:val="ResumeBullet"/>
      </w:pPr>
      <w:r>
        <w:t>Address: “Cyber fraud and the common citizen”, state police commissioners' conference, 2025.</w:t>
      </w:r>
    </w:p>
    <w:p>
      <w:pPr>
        <w:pStyle w:val="ResumeBullet"/>
      </w:pPr>
      <w:r>
        <w:t>Lecture: “Digital evidence in court”, state judicial academy, 2024.</w:t>
      </w:r>
    </w:p>
    <w:p>
      <w:pPr>
        <w:pStyle w:val="ResumeBullet"/>
      </w:pPr>
      <w:r>
        <w:t>Talk: “Community policing that works”, national police academy, 2022.</w:t>
      </w:r>
    </w:p>
    <w:p>
      <w:pPr>
        <w:pStyle w:val="SectionHeading"/>
        <w:pBdr>
          <w:bottom w:val="double" w:sz="6" w:space="2" w:color="15803D"/>
        </w:pBdr>
      </w:pPr>
      <w:r>
        <w:t>Teaching &amp; Training</w:t>
      </w:r>
    </w:p>
    <w:p>
      <w:pPr>
        <w:pStyle w:val="ResumeBullet"/>
      </w:pPr>
      <w:r>
        <w:t>Guest faculty on cyber crime at the state police academy (2019–present)</w:t>
      </w:r>
    </w:p>
    <w:p>
      <w:pPr>
        <w:pStyle w:val="SectionHeading"/>
        <w:pBdr>
          <w:bottom w:val="double" w:sz="6" w:space="2" w:color="15803D"/>
        </w:pBdr>
      </w:pPr>
      <w:r>
        <w:t>International &amp; Committee Work</w:t>
      </w:r>
    </w:p>
    <w:p>
      <w:pPr>
        <w:pStyle w:val="ResumeBullet"/>
      </w:pPr>
      <w:r>
        <w:t>Member, national working group on cyber-crime reporting standards (2023–present)</w:t>
      </w:r>
    </w:p>
    <w:p>
      <w:pPr>
        <w:pStyle w:val="SectionHeading"/>
        <w:pBdr>
          <w:bottom w:val="double" w:sz="6" w:space="2" w:color="15803D"/>
        </w:pBdr>
      </w:pPr>
      <w:r>
        <w:t>Skills</w:t>
      </w:r>
    </w:p>
    <w:p>
      <w:pPr>
        <w:pStyle w:val="BodyText"/>
      </w:pPr>
      <w:r>
        <w:rPr>
          <w:b/>
          <w:bCs/>
        </w:rPr>
        <w:t xml:space="preserve">Policing: </w:t>
      </w:r>
      <w:r>
        <w:t>Investigation supervision, crowd management, counter-insurgency, community policing</w:t>
      </w:r>
    </w:p>
    <w:p>
      <w:pPr>
        <w:pStyle w:val="BodyText"/>
      </w:pPr>
      <w:r>
        <w:rPr>
          <w:b/>
          <w:bCs/>
        </w:rPr>
        <w:t xml:space="preserve">Technical: </w:t>
      </w:r>
      <w:r>
        <w:t>Digital forensics, data analytics, CCTNS</w:t>
      </w:r>
    </w:p>
    <w:p>
      <w:pPr>
        <w:pStyle w:val="BodyText"/>
      </w:pPr>
      <w:r>
        <w:rPr>
          <w:b/>
          <w:bCs/>
        </w:rPr>
        <w:t xml:space="preserve">Languages: </w:t>
      </w:r>
      <w:r>
        <w:t>Hindi, English, Bhojpuri</w:t>
      </w:r>
    </w:p>
    <w:p>
      <w:pPr>
        <w:pStyle w:val="SectionHeading"/>
        <w:pBdr>
          <w:bottom w:val="double" w:sz="6" w:space="2" w:color="15803D"/>
        </w:pBdr>
      </w:pPr>
      <w:r>
        <w:t>Declaration</w:t>
      </w:r>
    </w:p>
    <w:p>
      <w:pPr>
        <w:pStyle w:val="BodyText"/>
      </w:pPr>
      <w:r>
        <w:t>I hereby declare that the information given above is true and correct to the best of my knowledge and belief.</w:t>
      </w:r>
    </w:p>
    <w:p>
      <w:pPr>
        <w:pStyle w:val="BodyText"/>
        <w:keepNext/>
        <w:tabs>
          <w:tab w:pos="9298" w:val="right"/>
        </w:tabs>
        <w:spacing w:before="360"/>
      </w:pPr>
      <w:r>
        <w:t>Place: Bhopal</w:t>
      </w:r>
      <w:r>
        <w:tab/>
      </w:r>
      <w:r>
        <w:t>(Signature)</w:t>
      </w:r>
    </w:p>
    <w:p>
      <w:pPr>
        <w:pStyle w:val="BodyText"/>
        <w:tabs>
          <w:tab w:pos="9298" w:val="right"/>
        </w:tabs>
      </w:pPr>
      <w:r>
        <w:t>Date: ____________</w:t>
      </w:r>
      <w:r>
        <w:tab/>
      </w:r>
      <w:r>
        <w:rPr>
          <w:b/>
          <w:bCs/>
        </w:rPr>
        <w:t>Shri Abhishek Yadav, IPS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077" w:right="1304" w:bottom="1020" w:left="130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Work Sans" w:hAnsi="Work Sans" w:eastAsia="Work Sans" w:cs="Work Sans"/>
        <w:color w:val="888888"/>
        <w:sz w:val="16"/>
        <w:szCs w:val="16"/>
      </w:rPr>
      <w:t xml:space="preserve">Page </w:t>
    </w:r>
    <w:r>
      <w:rPr>
        <w:rFonts w:ascii="Work Sans" w:hAnsi="Work Sans" w:eastAsia="Work Sans" w:cs="Work Sans"/>
        <w:color w:val="888888"/>
        <w:sz w:val="16"/>
        <w:szCs w:val="16"/>
      </w:rPr>
      <w:fldChar w:fldCharType="begin"/>
    </w:r>
    <w:r>
      <w:rPr>
        <w:rFonts w:ascii="Work Sans" w:hAnsi="Work Sans" w:eastAsia="Work Sans" w:cs="Work Sans"/>
        <w:color w:val="888888"/>
        <w:sz w:val="16"/>
        <w:szCs w:val="16"/>
      </w:rPr>
      <w:instrText xml:space="preserve"> PAGE </w:instrText>
    </w:r>
    <w:r>
      <w:rPr>
        <w:rFonts w:ascii="Work Sans" w:hAnsi="Work Sans" w:eastAsia="Work Sans" w:cs="Work Sans"/>
        <w:color w:val="888888"/>
        <w:sz w:val="16"/>
        <w:szCs w:val="16"/>
      </w:rPr>
      <w:fldChar w:fldCharType="separate"/>
    </w:r>
    <w:r>
      <w:rPr>
        <w:rFonts w:ascii="Work Sans" w:hAnsi="Work Sans" w:eastAsia="Work Sans" w:cs="Work Sans"/>
        <w:color w:val="888888"/>
        <w:sz w:val="16"/>
        <w:szCs w:val="16"/>
      </w:rPr>
      <w:t>1</w:t>
    </w:r>
    <w:r>
      <w:rPr>
        <w:rFonts w:ascii="Work Sans" w:hAnsi="Work Sans" w:eastAsia="Work Sans" w:cs="Work Sans"/>
        <w:color w:val="888888"/>
        <w:sz w:val="16"/>
        <w:szCs w:val="16"/>
      </w:rPr>
      <w:fldChar w:fldCharType="end"/>
    </w:r>
    <w:r>
      <w:rPr>
        <w:rFonts w:ascii="Work Sans" w:hAnsi="Work Sans" w:eastAsia="Work Sans" w:cs="Work Sans"/>
        <w:color w:val="888888"/>
        <w:sz w:val="16"/>
        <w:szCs w:val="16"/>
      </w:rPr>
      <w:t xml:space="preserve"> of </w:t>
    </w:r>
    <w:r>
      <w:rPr>
        <w:rFonts w:ascii="Work Sans" w:hAnsi="Work Sans" w:eastAsia="Work Sans" w:cs="Work Sans"/>
        <w:color w:val="888888"/>
        <w:sz w:val="16"/>
        <w:szCs w:val="16"/>
      </w:rPr>
      <w:fldChar w:fldCharType="begin"/>
    </w:r>
    <w:r>
      <w:rPr>
        <w:rFonts w:ascii="Work Sans" w:hAnsi="Work Sans" w:eastAsia="Work Sans" w:cs="Work Sans"/>
        <w:color w:val="888888"/>
        <w:sz w:val="16"/>
        <w:szCs w:val="16"/>
      </w:rPr>
      <w:instrText xml:space="preserve"> NUMPAGES </w:instrText>
    </w:r>
    <w:r>
      <w:rPr>
        <w:rFonts w:ascii="Work Sans" w:hAnsi="Work Sans" w:eastAsia="Work Sans" w:cs="Work Sans"/>
        <w:color w:val="888888"/>
        <w:sz w:val="16"/>
        <w:szCs w:val="16"/>
      </w:rPr>
      <w:fldChar w:fldCharType="separate"/>
    </w:r>
    <w:r>
      <w:rPr>
        <w:rFonts w:ascii="Work Sans" w:hAnsi="Work Sans" w:eastAsia="Work Sans" w:cs="Work Sans"/>
        <w:color w:val="888888"/>
        <w:sz w:val="16"/>
        <w:szCs w:val="16"/>
      </w:rPr>
      <w:t>1</w:t>
    </w:r>
    <w:r>
      <w:rPr>
        <w:rFonts w:ascii="Work Sans" w:hAnsi="Work Sans" w:eastAsia="Work Sans" w:cs="Work Sans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Work Sans" w:hAnsi="Work Sans" w:eastAsia="Work Sans" w:cs="Work Sans"/>
        <w:color w:val="888888"/>
        <w:sz w:val="16"/>
        <w:szCs w:val="16"/>
      </w:rPr>
      <w:t xml:space="preserve">Page </w:t>
    </w:r>
    <w:r>
      <w:rPr>
        <w:rFonts w:ascii="Work Sans" w:hAnsi="Work Sans" w:eastAsia="Work Sans" w:cs="Work Sans"/>
        <w:color w:val="888888"/>
        <w:sz w:val="16"/>
        <w:szCs w:val="16"/>
      </w:rPr>
      <w:fldChar w:fldCharType="begin"/>
    </w:r>
    <w:r>
      <w:rPr>
        <w:rFonts w:ascii="Work Sans" w:hAnsi="Work Sans" w:eastAsia="Work Sans" w:cs="Work Sans"/>
        <w:color w:val="888888"/>
        <w:sz w:val="16"/>
        <w:szCs w:val="16"/>
      </w:rPr>
      <w:instrText xml:space="preserve"> PAGE </w:instrText>
    </w:r>
    <w:r>
      <w:rPr>
        <w:rFonts w:ascii="Work Sans" w:hAnsi="Work Sans" w:eastAsia="Work Sans" w:cs="Work Sans"/>
        <w:color w:val="888888"/>
        <w:sz w:val="16"/>
        <w:szCs w:val="16"/>
      </w:rPr>
      <w:fldChar w:fldCharType="separate"/>
    </w:r>
    <w:r>
      <w:rPr>
        <w:rFonts w:ascii="Work Sans" w:hAnsi="Work Sans" w:eastAsia="Work Sans" w:cs="Work Sans"/>
        <w:color w:val="888888"/>
        <w:sz w:val="16"/>
        <w:szCs w:val="16"/>
      </w:rPr>
      <w:t>1</w:t>
    </w:r>
    <w:r>
      <w:rPr>
        <w:rFonts w:ascii="Work Sans" w:hAnsi="Work Sans" w:eastAsia="Work Sans" w:cs="Work Sans"/>
        <w:color w:val="888888"/>
        <w:sz w:val="16"/>
        <w:szCs w:val="16"/>
      </w:rPr>
      <w:fldChar w:fldCharType="end"/>
    </w:r>
    <w:r>
      <w:rPr>
        <w:rFonts w:ascii="Work Sans" w:hAnsi="Work Sans" w:eastAsia="Work Sans" w:cs="Work Sans"/>
        <w:color w:val="888888"/>
        <w:sz w:val="16"/>
        <w:szCs w:val="16"/>
      </w:rPr>
      <w:t xml:space="preserve"> of </w:t>
    </w:r>
    <w:r>
      <w:rPr>
        <w:rFonts w:ascii="Work Sans" w:hAnsi="Work Sans" w:eastAsia="Work Sans" w:cs="Work Sans"/>
        <w:color w:val="888888"/>
        <w:sz w:val="16"/>
        <w:szCs w:val="16"/>
      </w:rPr>
      <w:fldChar w:fldCharType="begin"/>
    </w:r>
    <w:r>
      <w:rPr>
        <w:rFonts w:ascii="Work Sans" w:hAnsi="Work Sans" w:eastAsia="Work Sans" w:cs="Work Sans"/>
        <w:color w:val="888888"/>
        <w:sz w:val="16"/>
        <w:szCs w:val="16"/>
      </w:rPr>
      <w:instrText xml:space="preserve"> NUMPAGES </w:instrText>
    </w:r>
    <w:r>
      <w:rPr>
        <w:rFonts w:ascii="Work Sans" w:hAnsi="Work Sans" w:eastAsia="Work Sans" w:cs="Work Sans"/>
        <w:color w:val="888888"/>
        <w:sz w:val="16"/>
        <w:szCs w:val="16"/>
      </w:rPr>
      <w:fldChar w:fldCharType="separate"/>
    </w:r>
    <w:r>
      <w:rPr>
        <w:rFonts w:ascii="Work Sans" w:hAnsi="Work Sans" w:eastAsia="Work Sans" w:cs="Work Sans"/>
        <w:color w:val="888888"/>
        <w:sz w:val="16"/>
        <w:szCs w:val="16"/>
      </w:rPr>
      <w:t>1</w:t>
    </w:r>
    <w:r>
      <w:rPr>
        <w:rFonts w:ascii="Work Sans" w:hAnsi="Work Sans" w:eastAsia="Work Sans" w:cs="Work Sans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298" w:val="right"/>
      </w:tabs>
      <w:jc w:val="left"/>
    </w:pPr>
    <w:r>
      <w:rPr>
        <w:color w:val="777777"/>
        <w:sz w:val="17"/>
        <w:szCs w:val="17"/>
      </w:rPr>
      <w:t>Shri Abhishek Yadav, IPS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›"/>
      <w:lvlJc w:val="left"/>
      <w:pPr>
        <w:ind w:left="283" w:hanging="227"/>
      </w:pPr>
      <w:rPr>
        <w:rFonts w:ascii="Arial" w:hAnsi="Arial" w:cs="Arial" w:hint="default"/>
        <w:color w:val="15803D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Work Sans" w:hAnsi="Work Sans" w:eastAsia="Work Sans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Work Sans" w:hAnsi="Work Sans" w:eastAsia="Work Sans" w:cs="Mukta"/>
      <w:color w:val="1E1E1E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Work Sans" w:hAnsi="Work Sans" w:eastAsia="Work Sans" w:cs="Mukta"/>
      <w:b w:val="0"/>
      <w:i w:val="0"/>
      <w:caps w:val="0"/>
      <w:smallCaps w:val="0"/>
      <w:color w:val="1E1E1E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Fraunces" w:hAnsi="Fraunces" w:eastAsia="Fraunces" w:cs="Mukta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Work Sans" w:hAnsi="Work Sans" w:eastAsia="Work Sans" w:cs="Mukta"/>
      <w:b w:val="0"/>
      <w:i w:val="0"/>
      <w:caps w:val="0"/>
      <w:smallCaps w:val="0"/>
      <w:color w:val="1E1E1E"/>
      <w:sz w:val="21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Work Sans" w:hAnsi="Work Sans" w:eastAsia="Work Sans" w:cs="Mukta"/>
      <w:b w:val="0"/>
      <w:i w:val="0"/>
      <w:caps w:val="0"/>
      <w:smallCaps w:val="0"/>
      <w:color w:val="555555"/>
      <w:sz w:val="17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Fraunces" w:hAnsi="Fraunces" w:eastAsia="Fraunces" w:cs="Mukta"/>
      <w:b/>
      <w:bCs/>
      <w:i w:val="0"/>
      <w:caps/>
      <w:smallCaps w:val="0"/>
      <w:color w:val="15803D"/>
      <w:spacing w:val="28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Work Sans" w:hAnsi="Work Sans" w:eastAsia="Work Sans" w:cs="Mukta"/>
      <w:b w:val="0"/>
      <w:i w:val="0"/>
      <w:caps w:val="0"/>
      <w:smallCaps w:val="0"/>
      <w:color w:val="1E1E1E"/>
      <w:sz w:val="19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Work Sans" w:hAnsi="Work Sans" w:eastAsia="Work Sans" w:cs="Mukta"/>
      <w:b/>
      <w:bCs/>
      <w:i w:val="0"/>
      <w:caps w:val="0"/>
      <w:smallCaps w:val="0"/>
      <w:color w:val="1E1E1E"/>
      <w:sz w:val="19"/>
      <w:szCs w:val="19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Work Sans" w:hAnsi="Work Sans" w:eastAsia="Work Sans" w:cs="Mukta"/>
      <w:b w:val="0"/>
      <w:i/>
      <w:caps w:val="0"/>
      <w:smallCaps w:val="0"/>
      <w:color w:val="444444"/>
      <w:sz w:val="19"/>
      <w:szCs w:val="19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Work Sans" w:hAnsi="Work Sans" w:eastAsia="Work Sans" w:cs="Mukta"/>
      <w:b w:val="0"/>
      <w:i w:val="0"/>
      <w:caps w:val="0"/>
      <w:smallCaps w:val="0"/>
      <w:color w:val="1E1E1E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Work Sans" w:hAnsi="Work Sans" w:eastAsia="Work Sans" w:cs="Mukta"/>
      <w:b w:val="0"/>
      <w:i w:val="0"/>
      <w:caps w:val="0"/>
      <w:smallCaps w:val="0"/>
      <w:color w:val="1E1E1E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 Strip · Double Rules — IPS Officer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