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act"/>
        <w:pBdr>
          <w:left w:val="single" w:sz="4" w:space="16" w:color="E8EDFB"/>
          <w:right w:val="single" w:sz="4" w:space="16" w:color="E8EDFB"/>
        </w:pBdr>
        <w:shd w:val="clear" w:color="auto" w:fill="E8EDFB"/>
        <w:spacing w:line="192" w:lineRule="auto"/>
        <w:ind w:left="340" w:right="340"/>
      </w:pPr>
    </w:p>
    <w:p>
      <w:pPr>
        <w:pStyle w:val="Name"/>
        <w:pBdr>
          <w:left w:val="single" w:sz="4" w:space="16" w:color="E8EDFB"/>
          <w:right w:val="single" w:sz="4" w:space="16" w:color="E8EDFB"/>
        </w:pBdr>
        <w:shd w:val="clear" w:color="auto" w:fill="E8EDFB"/>
        <w:spacing w:before="0"/>
        <w:ind w:left="340" w:right="340"/>
      </w:pPr>
      <w:r>
        <w:t>Dr. Priyanka Nair</w:t>
      </w:r>
    </w:p>
    <w:p>
      <w:pPr>
        <w:pStyle w:val="Role"/>
        <w:pBdr>
          <w:left w:val="single" w:sz="4" w:space="16" w:color="E8EDFB"/>
          <w:right w:val="single" w:sz="4" w:space="16" w:color="E8EDFB"/>
        </w:pBdr>
        <w:shd w:val="clear" w:color="auto" w:fill="E8EDFB"/>
        <w:ind w:left="340" w:right="340"/>
      </w:pPr>
      <w:r>
        <w:t>Senior Scientist, Green Chemistry</w:t>
      </w:r>
    </w:p>
    <w:p>
      <w:pPr>
        <w:pStyle w:val="Contact"/>
        <w:pBdr>
          <w:left w:val="single" w:sz="4" w:space="16" w:color="E8EDFB"/>
          <w:right w:val="single" w:sz="4" w:space="16" w:color="E8EDFB"/>
        </w:pBdr>
        <w:shd w:val="clear" w:color="auto" w:fill="E8EDFB"/>
        <w:ind w:left="340" w:right="340"/>
      </w:pPr>
      <w:r>
        <w:t>Thiruvananthapuram, India</w:t>
      </w:r>
      <w:r>
        <w:rPr>
          <w:color w:val="1D4ED8"/>
        </w:rPr>
        <w:t xml:space="preserve">   |   </w:t>
      </w:r>
      <w:r>
        <w:t>+91 94470 63218</w:t>
      </w:r>
      <w:r>
        <w:rPr>
          <w:color w:val="1D4ED8"/>
        </w:rPr>
        <w:t xml:space="preserve">   |   </w:t>
      </w:r>
      <w:r>
        <w:t>priyanka.nair@lab.example</w:t>
      </w:r>
      <w:r>
        <w:rPr>
          <w:color w:val="1D4ED8"/>
        </w:rPr>
        <w:t xml:space="preserve">   |   </w:t>
      </w:r>
      <w:r>
        <w:t>nairgreenchem.in</w:t>
      </w:r>
    </w:p>
    <w:p>
      <w:pPr>
        <w:pStyle w:val="Contact"/>
        <w:pBdr>
          <w:left w:val="single" w:sz="4" w:space="16" w:color="E8EDFB"/>
          <w:bottom w:val="single" w:sz="18" w:space="0" w:color="1D4ED8"/>
          <w:right w:val="single" w:sz="4" w:space="16" w:color="E8EDFB"/>
        </w:pBdr>
        <w:shd w:val="clear" w:color="auto" w:fill="E8EDFB"/>
        <w:spacing w:before="0" w:after="0" w:line="168" w:lineRule="auto"/>
        <w:ind w:left="340" w:right="340"/>
      </w:pPr>
      <w:r/>
    </w:p>
    <w:p>
      <w:pPr>
        <w:pStyle w:val="SectionHeading"/>
        <w:pBdr>
          <w:bottom w:val="single" w:sz="4" w:space="2" w:color="1D4ED8"/>
        </w:pBdr>
      </w:pPr>
      <w:r>
        <w:t>Profile</w:t>
      </w:r>
    </w:p>
    <w:p>
      <w:pPr>
        <w:pStyle w:val="Summary"/>
      </w:pPr>
      <w:r>
        <w:t>Synthetic chemist designing cleaner catalysts and solvent-free routes for pharmaceutical intermediates. Three processes from her group have been scaled to pilot plants with industry partners.</w:t>
      </w:r>
    </w:p>
    <w:p>
      <w:pPr>
        <w:pStyle w:val="BodyText"/>
        <w:spacing w:before="80"/>
      </w:pPr>
      <w:r>
        <w:rPr>
          <w:b/>
          <w:bCs/>
          <w:color w:val="1D4ED8"/>
        </w:rPr>
        <w:t xml:space="preserve">Research interests: </w:t>
      </w:r>
      <w:r>
        <w:t>Photocatalysis · metal-organic frameworks · flow chemistry · process scale-up</w:t>
      </w:r>
    </w:p>
    <w:p>
      <w:pPr>
        <w:pStyle w:val="SectionHeading"/>
        <w:pBdr>
          <w:bottom w:val="single" w:sz="4" w:space="2" w:color="1D4ED8"/>
        </w:pBdr>
      </w:pPr>
      <w:r>
        <w:t>Research Experience</w:t>
      </w:r>
    </w:p>
    <w:p>
      <w:pPr>
        <w:pStyle w:val="EntryTitle"/>
      </w:pPr>
      <w:r>
        <w:t>Senior Scientist</w:t>
      </w:r>
      <w:r>
        <w:rPr>
          <w:b w:val="0"/>
          <w:i/>
          <w:color w:val="1D4ED8"/>
          <w:sz w:val="17"/>
          <w:szCs w:val="18"/>
        </w:rPr>
        <w:t xml:space="preserve">  ·  2019 – Present</w:t>
      </w:r>
    </w:p>
    <w:p>
      <w:pPr>
        <w:pStyle w:val="EntryMeta"/>
      </w:pPr>
      <w:r>
        <w:t>National Laboratory for Interdisciplinary Chemistry</w:t>
      </w:r>
    </w:p>
    <w:p>
      <w:pPr>
        <w:pStyle w:val="ResumeBullet"/>
      </w:pPr>
      <w:r>
        <w:t>Lead a 10-person group on solvent-free catalysis; 2 processes licensed to drug makers.</w:t>
      </w:r>
    </w:p>
    <w:p>
      <w:pPr>
        <w:pStyle w:val="ResumeBullet"/>
      </w:pPr>
      <w:r>
        <w:t>Set up a continuous-flow photoreactor facility shared by 6 groups.</w:t>
      </w:r>
    </w:p>
    <w:p>
      <w:pPr>
        <w:pStyle w:val="EntryTitle"/>
      </w:pPr>
      <w:r>
        <w:t>Scientist</w:t>
      </w:r>
      <w:r>
        <w:rPr>
          <w:b w:val="0"/>
          <w:i/>
          <w:color w:val="1D4ED8"/>
          <w:sz w:val="17"/>
          <w:szCs w:val="18"/>
        </w:rPr>
        <w:t xml:space="preserve">  ·  2016 – 2019</w:t>
      </w:r>
    </w:p>
    <w:p>
      <w:pPr>
        <w:pStyle w:val="EntryMeta"/>
      </w:pPr>
      <w:r>
        <w:t>National Laboratory for Interdisciplinary Chemistry</w:t>
      </w:r>
    </w:p>
    <w:p>
      <w:pPr>
        <w:pStyle w:val="ResumeBullet"/>
      </w:pPr>
      <w:r>
        <w:t>Developed MOF sorbents capturing 4.1 mmol/g CO2 at room temperature (sample data).</w:t>
      </w:r>
    </w:p>
    <w:p>
      <w:pPr>
        <w:pStyle w:val="EntryTitle"/>
      </w:pPr>
      <w:r>
        <w:t>Postdoctoral Researcher</w:t>
      </w:r>
      <w:r>
        <w:rPr>
          <w:b w:val="0"/>
          <w:i/>
          <w:color w:val="1D4ED8"/>
          <w:sz w:val="17"/>
          <w:szCs w:val="18"/>
        </w:rPr>
        <w:t xml:space="preserve">  ·  2015 – 2016</w:t>
      </w:r>
    </w:p>
    <w:p>
      <w:pPr>
        <w:pStyle w:val="EntryMeta"/>
      </w:pPr>
      <w:r>
        <w:t>Rhinevale University of Technology</w:t>
      </w:r>
    </w:p>
    <w:p>
      <w:pPr>
        <w:pStyle w:val="ResumeBullet"/>
      </w:pPr>
      <w:r>
        <w:t>Worked on cobalt catalysts for hydrogen evolution.</w:t>
      </w:r>
    </w:p>
    <w:p>
      <w:pPr>
        <w:pStyle w:val="SectionHeading"/>
        <w:pBdr>
          <w:bottom w:val="single" w:sz="4" w:space="2" w:color="1D4ED8"/>
        </w:pBdr>
      </w:pPr>
      <w:r>
        <w:t>Education</w:t>
      </w:r>
    </w:p>
    <w:p>
      <w:pPr>
        <w:pStyle w:val="EntryTitle"/>
      </w:pPr>
      <w:r>
        <w:t>Ph.D., Chemistry</w:t>
      </w:r>
      <w:r>
        <w:rPr>
          <w:b w:val="0"/>
          <w:i/>
          <w:color w:val="1D4ED8"/>
          <w:sz w:val="17"/>
          <w:szCs w:val="18"/>
        </w:rPr>
        <w:t xml:space="preserve">  ·  2010 – 2015</w:t>
      </w:r>
    </w:p>
    <w:p>
      <w:pPr>
        <w:pStyle w:val="EntryMeta"/>
      </w:pPr>
      <w:r>
        <w:t>Malabar Institute of Chemical Sciences</w:t>
      </w:r>
    </w:p>
    <w:p>
      <w:pPr>
        <w:pStyle w:val="BodyText"/>
      </w:pPr>
      <w:r>
        <w:t>Thesis: Visible-light photocatalysts from earth-abundant metals</w:t>
      </w:r>
    </w:p>
    <w:p>
      <w:pPr>
        <w:pStyle w:val="EntryTitle"/>
      </w:pPr>
      <w:r>
        <w:t>M.Sc., Chemistry</w:t>
      </w:r>
      <w:r>
        <w:rPr>
          <w:b w:val="0"/>
          <w:i/>
          <w:color w:val="1D4ED8"/>
          <w:sz w:val="17"/>
          <w:szCs w:val="18"/>
        </w:rPr>
        <w:t xml:space="preserve">  ·  2008 – 2010</w:t>
      </w:r>
    </w:p>
    <w:p>
      <w:pPr>
        <w:pStyle w:val="EntryMeta"/>
      </w:pPr>
      <w:r>
        <w:t>Kerala Coast University</w:t>
      </w:r>
    </w:p>
    <w:p>
      <w:pPr>
        <w:pStyle w:val="BodyText"/>
      </w:pPr>
      <w:r>
        <w:t>First Rank</w:t>
      </w:r>
    </w:p>
    <w:p>
      <w:pPr>
        <w:pStyle w:val="EntryTitle"/>
      </w:pPr>
      <w:r>
        <w:t>B.Sc., Chemistry</w:t>
      </w:r>
      <w:r>
        <w:rPr>
          <w:b w:val="0"/>
          <w:i/>
          <w:color w:val="1D4ED8"/>
          <w:sz w:val="17"/>
          <w:szCs w:val="18"/>
        </w:rPr>
        <w:t xml:space="preserve">  ·  2005 – 2008</w:t>
      </w:r>
    </w:p>
    <w:p>
      <w:pPr>
        <w:pStyle w:val="EntryMeta"/>
      </w:pPr>
      <w:r>
        <w:t>Kerala Coast University</w:t>
      </w:r>
    </w:p>
    <w:p>
      <w:pPr>
        <w:pStyle w:val="SectionHeading"/>
        <w:pBdr>
          <w:bottom w:val="single" w:sz="4" w:space="2" w:color="1D4ED8"/>
        </w:pBdr>
      </w:pPr>
      <w:r>
        <w:t>Grants, Awards &amp; Honours</w:t>
      </w:r>
    </w:p>
    <w:p>
      <w:pPr>
        <w:pStyle w:val="ResumeBullet"/>
      </w:pPr>
      <w:r>
        <w:t>PI, industry-sponsored flow chemistry project (2021–2024), ₹1.8 crore</w:t>
      </w:r>
    </w:p>
    <w:p>
      <w:pPr>
        <w:pStyle w:val="ResumeBullet"/>
      </w:pPr>
      <w:r>
        <w:t>Women Scientist Award, national chemical society (2022)</w:t>
      </w:r>
    </w:p>
    <w:p>
      <w:pPr>
        <w:pStyle w:val="ResumeBullet"/>
      </w:pPr>
      <w:r>
        <w:t>Two Indian patents on photocatalyst compositions (2020, 2023)</w:t>
      </w:r>
    </w:p>
    <w:p>
      <w:pPr>
        <w:pStyle w:val="SectionHeading"/>
        <w:pBdr>
          <w:bottom w:val="single" w:sz="4" w:space="2" w:color="1D4ED8"/>
        </w:pBdr>
      </w:pPr>
      <w:r>
        <w:t>Teaching</w:t>
      </w:r>
    </w:p>
    <w:p>
      <w:pPr>
        <w:pStyle w:val="ResumeBullet"/>
      </w:pPr>
      <w:r>
        <w:t>Advanced Organic Synthesis (Ph.D. coursework)</w:t>
      </w:r>
    </w:p>
    <w:p>
      <w:pPr>
        <w:pStyle w:val="ResumeBullet"/>
      </w:pPr>
      <w:r>
        <w:t>Green Chemistry Principles (short course for industry chemists)</w:t>
      </w:r>
    </w:p>
    <w:p>
      <w:pPr>
        <w:pStyle w:val="SectionHeading"/>
        <w:pBdr>
          <w:bottom w:val="single" w:sz="4" w:space="2" w:color="1D4ED8"/>
        </w:pBdr>
      </w:pPr>
      <w:r>
        <w:t>Publications</w:t>
      </w:r>
    </w:p>
    <w:p>
      <w:pPr>
        <w:pStyle w:val="Citation"/>
      </w:pPr>
      <w:r>
        <w:t xml:space="preserve">Iyer, M., </w:t>
      </w:r>
      <w:r>
        <w:rPr>
          <w:b/>
          <w:bCs/>
        </w:rPr>
        <w:t>Nair, P.</w:t>
      </w:r>
      <w:r>
        <w:t>, Okafor, D., &amp; Fischer, A.</w:t>
      </w:r>
      <w:r>
        <w:t xml:space="preserve"> (2026). Revisiting asymmetric organocatalysis. </w:t>
      </w:r>
      <w:r>
        <w:rPr>
          <w:i/>
        </w:rPr>
        <w:t>Organic Synthesis Letters</w:t>
      </w:r>
      <w:r>
        <w:t>, 11(9), 212–232.</w:t>
      </w:r>
    </w:p>
    <w:p>
      <w:pPr>
        <w:pStyle w:val="Citation"/>
      </w:pPr>
      <w:r/>
      <w:r>
        <w:rPr>
          <w:b/>
          <w:bCs/>
        </w:rPr>
        <w:t>Nair, P.</w:t>
      </w:r>
      <w:r>
        <w:t>, &amp; Menon, V.</w:t>
      </w:r>
      <w:r>
        <w:t xml:space="preserve"> (2026). Measuring photocatalytic water splitting. </w:t>
      </w:r>
      <w:r>
        <w:rPr>
          <w:i/>
        </w:rPr>
        <w:t>Proceedings of the National Symposium on Green Chemistry</w:t>
      </w:r>
      <w:r>
        <w:t>, pp. 112–122.</w:t>
      </w:r>
    </w:p>
    <w:p>
      <w:pPr>
        <w:pStyle w:val="Citation"/>
      </w:pPr>
      <w:r>
        <w:t xml:space="preserve">Kim, J., &amp; </w:t>
      </w:r>
      <w:r>
        <w:rPr>
          <w:b/>
          <w:bCs/>
        </w:rPr>
        <w:t>Nair, P.</w:t>
      </w:r>
      <w:r/>
      <w:r>
        <w:t xml:space="preserve"> (2026). Scaling biodegradable polymer synthesis. </w:t>
      </w:r>
      <w:r>
        <w:rPr>
          <w:i/>
        </w:rPr>
        <w:t>Inorganic Materials Chemistry</w:t>
      </w:r>
      <w:r>
        <w:t>, 28(11), 162–175.</w:t>
      </w:r>
    </w:p>
    <w:p>
      <w:pPr>
        <w:pStyle w:val="Citation"/>
      </w:pPr>
      <w:r>
        <w:t xml:space="preserve">Fischer, A., &amp; </w:t>
      </w:r>
      <w:r>
        <w:rPr>
          <w:b/>
          <w:bCs/>
        </w:rPr>
        <w:t>Nair, P.</w:t>
      </w:r>
      <w:r/>
      <w:r>
        <w:t xml:space="preserve"> (2025). Designing for asymmetric organocatalysis. </w:t>
      </w:r>
      <w:r>
        <w:rPr>
          <w:i/>
        </w:rPr>
        <w:t>Proceedings of the National Symposium on Green Chemistry</w:t>
      </w:r>
      <w:r>
        <w:t>, pp. 798–809.</w:t>
      </w:r>
    </w:p>
    <w:p>
      <w:pPr>
        <w:pStyle w:val="Citation"/>
      </w:pPr>
      <w:r>
        <w:t xml:space="preserve">Okafor, D., &amp; </w:t>
      </w:r>
      <w:r>
        <w:rPr>
          <w:b/>
          <w:bCs/>
        </w:rPr>
        <w:t>Nair, P.</w:t>
      </w:r>
      <w:r/>
      <w:r>
        <w:t xml:space="preserve"> (2025). Evidence on electrochemical nitrogen reduction. </w:t>
      </w:r>
      <w:r>
        <w:rPr>
          <w:i/>
        </w:rPr>
        <w:t>Journal of Sustainable Catalysis</w:t>
      </w:r>
      <w:r>
        <w:t>, 20(5), 430–440.</w:t>
      </w:r>
    </w:p>
    <w:p>
      <w:pPr>
        <w:pStyle w:val="Citation"/>
      </w:pPr>
      <w:r>
        <w:t xml:space="preserve">Kim, J., </w:t>
      </w:r>
      <w:r>
        <w:rPr>
          <w:b/>
          <w:bCs/>
        </w:rPr>
        <w:t>Nair, P.</w:t>
      </w:r>
      <w:r>
        <w:t>, &amp; Mensah, K.</w:t>
      </w:r>
      <w:r>
        <w:t xml:space="preserve"> (2025). A study of metal-organic frameworks for CO2 capture. </w:t>
      </w:r>
      <w:r>
        <w:rPr>
          <w:i/>
        </w:rPr>
        <w:t>Proceedings of the National Symposium on Green Chemistry</w:t>
      </w:r>
      <w:r>
        <w:t>, pp. 491–502.</w:t>
      </w:r>
    </w:p>
    <w:p>
      <w:pPr>
        <w:pStyle w:val="Citation"/>
      </w:pPr>
      <w:r>
        <w:t xml:space="preserve">Kim, J., </w:t>
      </w:r>
      <w:r>
        <w:rPr>
          <w:b/>
          <w:bCs/>
        </w:rPr>
        <w:t>Nair, P.</w:t>
      </w:r>
      <w:r>
        <w:t>, Mensah, K., &amp; Fischer, A.</w:t>
      </w:r>
      <w:r>
        <w:t xml:space="preserve"> (2024). Designing for photocatalytic water splitting. </w:t>
      </w:r>
      <w:r>
        <w:rPr>
          <w:i/>
        </w:rPr>
        <w:t>Organic Synthesis Letters</w:t>
      </w:r>
      <w:r>
        <w:t>, 34(11), 875–886.</w:t>
      </w:r>
    </w:p>
    <w:p>
      <w:pPr>
        <w:pStyle w:val="Citation"/>
      </w:pPr>
      <w:r>
        <w:t xml:space="preserve">Haddad, N., Banerjee, P., &amp; </w:t>
      </w:r>
      <w:r>
        <w:rPr>
          <w:b/>
          <w:bCs/>
        </w:rPr>
        <w:t>Nair, P.</w:t>
      </w:r>
      <w:r/>
      <w:r>
        <w:t xml:space="preserve"> (2024). Designing for asymmetric organocatalysis. </w:t>
      </w:r>
      <w:r>
        <w:rPr>
          <w:i/>
        </w:rPr>
        <w:t>Inorganic Materials Chemistry</w:t>
      </w:r>
      <w:r>
        <w:t>, 47(2), 109–130.</w:t>
      </w:r>
    </w:p>
    <w:p>
      <w:pPr>
        <w:pStyle w:val="Citation"/>
      </w:pPr>
      <w:r>
        <w:t xml:space="preserve">Haddad, N., &amp; </w:t>
      </w:r>
      <w:r>
        <w:rPr>
          <w:b/>
          <w:bCs/>
        </w:rPr>
        <w:t>Nair, P.</w:t>
      </w:r>
      <w:r/>
      <w:r>
        <w:t xml:space="preserve"> (2024). Evidence on biodegradable polymer synthesis. </w:t>
      </w:r>
      <w:r>
        <w:rPr>
          <w:i/>
        </w:rPr>
        <w:t>Proceedings of the National Symposium on Green Chemistry</w:t>
      </w:r>
      <w:r>
        <w:t>, pp. 155–167.</w:t>
      </w:r>
    </w:p>
    <w:p>
      <w:pPr>
        <w:pStyle w:val="Citation"/>
      </w:pPr>
      <w:r>
        <w:t xml:space="preserve">Kim, J., Chen, L., &amp; </w:t>
      </w:r>
      <w:r>
        <w:rPr>
          <w:b/>
          <w:bCs/>
        </w:rPr>
        <w:t>Nair, P.</w:t>
      </w:r>
      <w:r/>
      <w:r>
        <w:t xml:space="preserve"> (2023). Measuring flow chemistry for drug intermediates. </w:t>
      </w:r>
      <w:r>
        <w:rPr>
          <w:i/>
        </w:rPr>
        <w:t>Journal of Sustainable Catalysis</w:t>
      </w:r>
      <w:r>
        <w:t>, 37(4), 119–133.</w:t>
      </w:r>
    </w:p>
    <w:p>
      <w:pPr>
        <w:pStyle w:val="Citation"/>
      </w:pPr>
      <w:r>
        <w:t xml:space="preserve">Banerjee, P., Menon, V., Gupta, R., &amp; </w:t>
      </w:r>
      <w:r>
        <w:rPr>
          <w:b/>
          <w:bCs/>
        </w:rPr>
        <w:t>Nair, P.</w:t>
      </w:r>
      <w:r/>
      <w:r>
        <w:t xml:space="preserve"> (2023). Scaling electrochemical nitrogen reduction. </w:t>
      </w:r>
      <w:r>
        <w:rPr>
          <w:i/>
        </w:rPr>
        <w:t>Proceedings of the National Symposium on Green Chemistry</w:t>
      </w:r>
      <w:r>
        <w:t>, pp. 723–732.</w:t>
      </w:r>
    </w:p>
    <w:p>
      <w:pPr>
        <w:pStyle w:val="Citation"/>
      </w:pPr>
      <w:r/>
      <w:r>
        <w:rPr>
          <w:b/>
          <w:bCs/>
        </w:rPr>
        <w:t>Nair, P.</w:t>
      </w:r>
      <w:r>
        <w:t>, &amp; Gupta, R.</w:t>
      </w:r>
      <w:r>
        <w:t xml:space="preserve"> (2023). Measuring metal-organic frameworks for CO2 capture. </w:t>
      </w:r>
      <w:r>
        <w:rPr>
          <w:i/>
        </w:rPr>
        <w:t>Proceedings of the National Symposium on Green Chemistry</w:t>
      </w:r>
      <w:r>
        <w:t>, pp. 492–504.</w:t>
      </w:r>
    </w:p>
    <w:p>
      <w:pPr>
        <w:pStyle w:val="Citation"/>
      </w:pPr>
      <w:r>
        <w:t xml:space="preserve">Haddad, N., Chen, L., Rao, S., &amp; </w:t>
      </w:r>
      <w:r>
        <w:rPr>
          <w:b/>
          <w:bCs/>
        </w:rPr>
        <w:t>Nair, P.</w:t>
      </w:r>
      <w:r/>
      <w:r>
        <w:t xml:space="preserve"> (2022). Understanding metal-organic frameworks for CO2 capture. </w:t>
      </w:r>
      <w:r>
        <w:rPr>
          <w:i/>
        </w:rPr>
        <w:t>Proceedings of the National Symposium on Green Chemistry</w:t>
      </w:r>
      <w:r>
        <w:t>, pp. 372–381.</w:t>
      </w:r>
    </w:p>
    <w:p>
      <w:pPr>
        <w:pStyle w:val="Citation"/>
      </w:pPr>
      <w:r>
        <w:t xml:space="preserve">Chen, L., Menon, V., &amp; </w:t>
      </w:r>
      <w:r>
        <w:rPr>
          <w:b/>
          <w:bCs/>
        </w:rPr>
        <w:t>Nair, P.</w:t>
      </w:r>
      <w:r/>
      <w:r>
        <w:t xml:space="preserve"> (2022). Evidence on electrochemical nitrogen reduction. </w:t>
      </w:r>
      <w:r>
        <w:rPr>
          <w:i/>
        </w:rPr>
        <w:t>Inorganic Materials Chemistry</w:t>
      </w:r>
      <w:r>
        <w:t>, 47(7), 313–329.</w:t>
      </w:r>
    </w:p>
    <w:p>
      <w:pPr>
        <w:pStyle w:val="Citation"/>
      </w:pPr>
      <w:r>
        <w:t xml:space="preserve">Kim, J., Haddad, N., &amp; </w:t>
      </w:r>
      <w:r>
        <w:rPr>
          <w:b/>
          <w:bCs/>
        </w:rPr>
        <w:t>Nair, P.</w:t>
      </w:r>
      <w:r/>
      <w:r>
        <w:t xml:space="preserve"> (2022). Towards asymmetric organocatalysis. </w:t>
      </w:r>
      <w:r>
        <w:rPr>
          <w:i/>
        </w:rPr>
        <w:t>Proceedings of the National Symposium on Green Chemistry</w:t>
      </w:r>
      <w:r>
        <w:t>, pp. 421–430.</w:t>
      </w:r>
    </w:p>
    <w:p>
      <w:pPr>
        <w:pStyle w:val="Citation"/>
      </w:pPr>
      <w:r>
        <w:t xml:space="preserve">Haddad, N., &amp; </w:t>
      </w:r>
      <w:r>
        <w:rPr>
          <w:b/>
          <w:bCs/>
        </w:rPr>
        <w:t>Nair, P.</w:t>
      </w:r>
      <w:r/>
      <w:r>
        <w:t xml:space="preserve"> (2021). Towards electrochemical nitrogen reduction. </w:t>
      </w:r>
      <w:r>
        <w:rPr>
          <w:i/>
        </w:rPr>
        <w:t>Inorganic Materials Chemistry</w:t>
      </w:r>
      <w:r>
        <w:t>, 22(9), 539–554.</w:t>
      </w:r>
    </w:p>
    <w:p>
      <w:pPr>
        <w:pStyle w:val="Citation"/>
      </w:pPr>
      <w:r>
        <w:t xml:space="preserve">Iyer, M., Chen, L., &amp; </w:t>
      </w:r>
      <w:r>
        <w:rPr>
          <w:b/>
          <w:bCs/>
        </w:rPr>
        <w:t>Nair, P.</w:t>
      </w:r>
      <w:r/>
      <w:r>
        <w:t xml:space="preserve"> (2021). Rethinking electrochemical nitrogen reduction. </w:t>
      </w:r>
      <w:r>
        <w:rPr>
          <w:i/>
        </w:rPr>
        <w:t>Organic Synthesis Letters</w:t>
      </w:r>
      <w:r>
        <w:t>, 9(12), 542–561.</w:t>
      </w:r>
    </w:p>
    <w:p>
      <w:pPr>
        <w:pStyle w:val="Citation"/>
      </w:pPr>
      <w:r>
        <w:t xml:space="preserve">Menon, V., &amp; </w:t>
      </w:r>
      <w:r>
        <w:rPr>
          <w:b/>
          <w:bCs/>
        </w:rPr>
        <w:t>Nair, P.</w:t>
      </w:r>
      <w:r/>
      <w:r>
        <w:t xml:space="preserve"> (2021). New approaches to metal-organic frameworks for CO2 capture. </w:t>
      </w:r>
      <w:r>
        <w:rPr>
          <w:i/>
        </w:rPr>
        <w:t>Organic Synthesis Letters</w:t>
      </w:r>
      <w:r>
        <w:t>, 6(5), 290–299.</w:t>
      </w:r>
    </w:p>
    <w:p>
      <w:pPr>
        <w:pStyle w:val="Citation"/>
      </w:pPr>
      <w:r>
        <w:t xml:space="preserve">Sato, Y., </w:t>
      </w:r>
      <w:r>
        <w:rPr>
          <w:b/>
          <w:bCs/>
        </w:rPr>
        <w:t>Nair, P.</w:t>
      </w:r>
      <w:r>
        <w:t>, Rao, S., &amp; Haddad, N.</w:t>
      </w:r>
      <w:r>
        <w:t xml:space="preserve"> (2020). Evidence on metal-organic frameworks for CO2 capture. </w:t>
      </w:r>
      <w:r>
        <w:rPr>
          <w:i/>
        </w:rPr>
        <w:t>Proceedings of the National Symposium on Green Chemistry</w:t>
      </w:r>
      <w:r>
        <w:t>, pp. 492–500.</w:t>
      </w:r>
    </w:p>
    <w:p>
      <w:pPr>
        <w:pStyle w:val="Citation"/>
      </w:pPr>
      <w:r>
        <w:t xml:space="preserve">Rao, S., Fischer, A., &amp; </w:t>
      </w:r>
      <w:r>
        <w:rPr>
          <w:b/>
          <w:bCs/>
        </w:rPr>
        <w:t>Nair, P.</w:t>
      </w:r>
      <w:r/>
      <w:r>
        <w:t xml:space="preserve"> (2020). Revisiting asymmetric organocatalysis. </w:t>
      </w:r>
      <w:r>
        <w:rPr>
          <w:i/>
        </w:rPr>
        <w:t>Inorganic Materials Chemistry</w:t>
      </w:r>
      <w:r>
        <w:t>, 12(1), 299–317.</w:t>
      </w:r>
    </w:p>
    <w:p>
      <w:pPr>
        <w:pStyle w:val="Citation"/>
      </w:pPr>
      <w:r>
        <w:t xml:space="preserve">Mensah, K., Okafor, D., &amp; </w:t>
      </w:r>
      <w:r>
        <w:rPr>
          <w:b/>
          <w:bCs/>
        </w:rPr>
        <w:t>Nair, P.</w:t>
      </w:r>
      <w:r/>
      <w:r>
        <w:t xml:space="preserve"> (2020). Revisiting photocatalytic water splitting. </w:t>
      </w:r>
      <w:r>
        <w:rPr>
          <w:i/>
        </w:rPr>
        <w:t>Journal of Sustainable Catalysis</w:t>
      </w:r>
      <w:r>
        <w:t>, 42(9), 373–393.</w:t>
      </w:r>
    </w:p>
    <w:p>
      <w:pPr>
        <w:pStyle w:val="SectionHeading"/>
        <w:pBdr>
          <w:bottom w:val="single" w:sz="4" w:space="2" w:color="1D4ED8"/>
        </w:pBdr>
      </w:pPr>
      <w:r>
        <w:t>Conference Presentations &amp; Invited Talks</w:t>
      </w:r>
    </w:p>
    <w:p>
      <w:pPr>
        <w:pStyle w:val="ResumeBullet"/>
      </w:pPr>
      <w:r>
        <w:t>Invited talk: “Evidence on photocatalytic water splitting”, Organic Synthesis Letters, Boston, 2026.</w:t>
      </w:r>
    </w:p>
    <w:p>
      <w:pPr>
        <w:pStyle w:val="ResumeBullet"/>
      </w:pPr>
      <w:r>
        <w:t>Contributed talk: “Designing for flow chemistry for drug intermediates”, Proceedings of the National Symposium on Green Chemistry, Toronto, 2026.</w:t>
      </w:r>
    </w:p>
    <w:p>
      <w:pPr>
        <w:pStyle w:val="ResumeBullet"/>
      </w:pPr>
      <w:r>
        <w:t>Poster: “Rethinking photocatalytic water splitting”, Symposium on Sustainable Catalysis, Berlin, 2025.</w:t>
      </w:r>
    </w:p>
    <w:p>
      <w:pPr>
        <w:pStyle w:val="ResumeBullet"/>
      </w:pPr>
      <w:r>
        <w:t>Contributed talk: “A study of electrochemical nitrogen reduction”, Organic Synthesis Letters, Hyderabad, 2025.</w:t>
      </w:r>
    </w:p>
    <w:p>
      <w:pPr>
        <w:pStyle w:val="ResumeBullet"/>
      </w:pPr>
      <w:r>
        <w:t>Keynote: “Scaling biodegradable polymer synthesis”, Inorganic Materials Chemistry, Berlin, 2024.</w:t>
      </w:r>
    </w:p>
    <w:p>
      <w:pPr>
        <w:pStyle w:val="ResumeBullet"/>
      </w:pPr>
      <w:r>
        <w:t>Keynote: “Scaling biodegradable polymer synthesis”, Symposium on Sustainable Catalysis, New Delhi, 2024.</w:t>
      </w:r>
    </w:p>
    <w:p>
      <w:pPr>
        <w:pStyle w:val="ResumeBullet"/>
      </w:pPr>
      <w:r>
        <w:t>Keynote: “Scaling asymmetric organocatalysis”, Proceedings of the National Symposium on Green Chemistry, Bengaluru, 2023.</w:t>
      </w:r>
    </w:p>
    <w:p>
      <w:pPr>
        <w:pStyle w:val="ResumeBullet"/>
      </w:pPr>
      <w:r>
        <w:t>Keynote: “New approaches to biodegradable polymer synthesis”, Proceedings of the National Symposium on Green Chemistry, Toronto, 2023.</w:t>
      </w:r>
    </w:p>
    <w:p>
      <w:pPr>
        <w:pStyle w:val="SectionHeading"/>
        <w:pBdr>
          <w:bottom w:val="single" w:sz="4" w:space="2" w:color="1D4ED8"/>
        </w:pBdr>
      </w:pPr>
      <w:r>
        <w:t>Professional Service</w:t>
      </w:r>
    </w:p>
    <w:p>
      <w:pPr>
        <w:pStyle w:val="ResumeBullet"/>
      </w:pPr>
      <w:r>
        <w:t>Associate editor, Journal of Sustainable Catalysis (2023–present)</w:t>
      </w:r>
    </w:p>
    <w:p>
      <w:pPr>
        <w:pStyle w:val="ResumeBullet"/>
      </w:pPr>
      <w:r>
        <w:t>Science outreach for 40 government schools under a lab-on-wheels scheme</w:t>
      </w:r>
    </w:p>
    <w:p>
      <w:pPr>
        <w:pStyle w:val="SectionHeading"/>
        <w:pBdr>
          <w:bottom w:val="single" w:sz="4" w:space="2" w:color="1D4ED8"/>
        </w:pBdr>
      </w:pPr>
      <w:r>
        <w:t>Skills</w:t>
      </w:r>
    </w:p>
    <w:p>
      <w:pPr>
        <w:pStyle w:val="BodyText"/>
      </w:pPr>
      <w:r>
        <w:rPr>
          <w:b/>
          <w:bCs/>
        </w:rPr>
        <w:t xml:space="preserve">Synthesis: </w:t>
      </w:r>
      <w:r>
        <w:t>Photoredox catalysis, MOF synthesis, flow reactors, scale-up to 5 L</w:t>
      </w:r>
    </w:p>
    <w:p>
      <w:pPr>
        <w:pStyle w:val="BodyText"/>
      </w:pPr>
      <w:r>
        <w:rPr>
          <w:b/>
          <w:bCs/>
        </w:rPr>
        <w:t xml:space="preserve">Analysis: </w:t>
      </w:r>
      <w:r>
        <w:t>NMR, XRD, BET, GC-MS, HPLC</w:t>
      </w:r>
    </w:p>
    <w:p>
      <w:pPr>
        <w:pStyle w:val="BodyText"/>
      </w:pPr>
      <w:r>
        <w:rPr>
          <w:b/>
          <w:bCs/>
        </w:rPr>
        <w:t xml:space="preserve">Languages: </w:t>
      </w:r>
      <w:r>
        <w:t>Malayalam (native), English, Hindi, Tamil</w:t>
      </w:r>
    </w:p>
    <w:p>
      <w:pPr>
        <w:pStyle w:val="SectionHeading"/>
        <w:pBdr>
          <w:bottom w:val="single" w:sz="4" w:space="2" w:color="1D4ED8"/>
        </w:pBdr>
      </w:pPr>
      <w:r>
        <w:t>References</w:t>
      </w:r>
    </w:p>
    <w:p>
      <w:pPr>
        <w:pStyle w:val="BodyText"/>
        <w:keepNext/>
        <w:spacing w:after="0"/>
      </w:pPr>
      <w:r>
        <w:rPr>
          <w:b/>
          <w:bCs/>
        </w:rPr>
        <w:t>Dr. R. Varghese</w:t>
      </w:r>
    </w:p>
    <w:p>
      <w:pPr>
        <w:pStyle w:val="BodyText"/>
        <w:keepNext/>
        <w:spacing w:after="0"/>
      </w:pPr>
      <w:r>
        <w:t>Director, National Laboratory for Interdisciplinary Chemistry</w:t>
      </w:r>
    </w:p>
    <w:p>
      <w:pPr>
        <w:pStyle w:val="BodyText"/>
        <w:spacing w:after="100"/>
      </w:pPr>
      <w:r>
        <w:t>r.varghese@lab.example</w:t>
      </w:r>
    </w:p>
    <w:p>
      <w:pPr>
        <w:pStyle w:val="BodyText"/>
        <w:keepNext/>
        <w:spacing w:after="0"/>
      </w:pPr>
      <w:r>
        <w:rPr>
          <w:b/>
          <w:bCs/>
        </w:rPr>
        <w:t>Prof. K. Albrecht</w:t>
      </w:r>
    </w:p>
    <w:p>
      <w:pPr>
        <w:pStyle w:val="BodyText"/>
        <w:keepNext/>
        <w:spacing w:after="0"/>
      </w:pPr>
      <w:r>
        <w:t>Professor, Rhinevale University of Technology</w:t>
      </w:r>
    </w:p>
    <w:p>
      <w:pPr>
        <w:pStyle w:val="BodyText"/>
        <w:spacing w:after="100"/>
      </w:pPr>
      <w:r>
        <w:t>k.albrecht@university.example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1191" w:bottom="1020" w:left="1191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Inter" w:hAnsi="Inter" w:eastAsia="Inter" w:cs="Inter"/>
        <w:color w:val="888888"/>
        <w:sz w:val="16"/>
        <w:szCs w:val="16"/>
      </w:rPr>
      <w:t xml:space="preserve">Page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PAGE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  <w:r>
      <w:rPr>
        <w:rFonts w:ascii="Inter" w:hAnsi="Inter" w:eastAsia="Inter" w:cs="Inter"/>
        <w:color w:val="888888"/>
        <w:sz w:val="16"/>
        <w:szCs w:val="16"/>
      </w:rPr>
      <w:t xml:space="preserve"> of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NUMPAGES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Inter" w:hAnsi="Inter" w:eastAsia="Inter" w:cs="Inter"/>
        <w:color w:val="888888"/>
        <w:sz w:val="16"/>
        <w:szCs w:val="16"/>
      </w:rPr>
      <w:t xml:space="preserve">Page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PAGE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  <w:r>
      <w:rPr>
        <w:rFonts w:ascii="Inter" w:hAnsi="Inter" w:eastAsia="Inter" w:cs="Inter"/>
        <w:color w:val="888888"/>
        <w:sz w:val="16"/>
        <w:szCs w:val="16"/>
      </w:rPr>
      <w:t xml:space="preserve"> of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NUMPAGES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524" w:val="right"/>
      </w:tabs>
      <w:jc w:val="left"/>
    </w:pPr>
    <w:r>
      <w:rPr>
        <w:color w:val="777777"/>
        <w:sz w:val="17"/>
        <w:szCs w:val="17"/>
      </w:rPr>
      <w:t>Dr. Priyanka Nair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▪"/>
      <w:lvlJc w:val="left"/>
      <w:pPr>
        <w:ind w:left="283" w:hanging="227"/>
      </w:pPr>
      <w:rPr>
        <w:rFonts w:ascii="Arial" w:hAnsi="Arial" w:cs="Arial" w:hint="default"/>
        <w:color w:val="1D4ED8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Inter" w:hAnsi="Inter" w:eastAsia="Inter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Inter" w:hAnsi="Inter" w:eastAsia="Inter" w:cs="Mukta"/>
      <w:color w:val="1E1E1E"/>
      <w:sz w:val="18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Inter" w:hAnsi="Inter" w:eastAsia="Inter" w:cs="Mukta"/>
      <w:b w:val="0"/>
      <w:i w:val="0"/>
      <w:caps w:val="0"/>
      <w:smallCaps w:val="0"/>
      <w:color w:val="1E1E1E"/>
      <w:sz w:val="18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Space Grotesk" w:hAnsi="Space Grotesk" w:eastAsia="Space Grotesk" w:cs="Mukta"/>
      <w:b/>
      <w:bCs/>
      <w:i w:val="0"/>
      <w:caps w:val="0"/>
      <w:smallCaps w:val="0"/>
      <w:color w:val="1E1E1E"/>
      <w:sz w:val="48"/>
      <w:szCs w:val="48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Inter" w:hAnsi="Inter" w:eastAsia="Inter" w:cs="Mukta"/>
      <w:b w:val="0"/>
      <w:i w:val="0"/>
      <w:caps w:val="0"/>
      <w:smallCaps w:val="0"/>
      <w:color w:val="1E1E1E"/>
      <w:sz w:val="20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Inter" w:hAnsi="Inter" w:eastAsia="Inter" w:cs="Mukta"/>
      <w:b w:val="0"/>
      <w:i w:val="0"/>
      <w:caps w:val="0"/>
      <w:smallCaps w:val="0"/>
      <w:color w:val="555555"/>
      <w:sz w:val="16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Space Grotesk" w:hAnsi="Space Grotesk" w:eastAsia="Space Grotesk" w:cs="Mukta"/>
      <w:b/>
      <w:bCs/>
      <w:i w:val="0"/>
      <w:caps/>
      <w:smallCaps w:val="0"/>
      <w:color w:val="1D4ED8"/>
      <w:spacing w:val="28"/>
      <w:sz w:val="21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Inter" w:hAnsi="Inter" w:eastAsia="Inter" w:cs="Mukta"/>
      <w:b w:val="0"/>
      <w:i w:val="0"/>
      <w:caps w:val="0"/>
      <w:smallCaps w:val="0"/>
      <w:color w:val="1E1E1E"/>
      <w:sz w:val="18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Inter" w:hAnsi="Inter" w:eastAsia="Inter" w:cs="Mukta"/>
      <w:b/>
      <w:bCs/>
      <w:i w:val="0"/>
      <w:caps w:val="0"/>
      <w:smallCaps w:val="0"/>
      <w:color w:val="1E1E1E"/>
      <w:sz w:val="18"/>
      <w:szCs w:val="19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Inter" w:hAnsi="Inter" w:eastAsia="Inter" w:cs="Mukta"/>
      <w:b w:val="0"/>
      <w:i/>
      <w:caps w:val="0"/>
      <w:smallCaps w:val="0"/>
      <w:color w:val="444444"/>
      <w:sz w:val="18"/>
      <w:szCs w:val="19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Inter" w:hAnsi="Inter" w:eastAsia="Inter" w:cs="Mukta"/>
      <w:b w:val="0"/>
      <w:i w:val="0"/>
      <w:caps w:val="0"/>
      <w:smallCaps w:val="0"/>
      <w:color w:val="1E1E1E"/>
      <w:sz w:val="17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Inter" w:hAnsi="Inter" w:eastAsia="Inter" w:cs="Mukta"/>
      <w:b w:val="0"/>
      <w:i w:val="0"/>
      <w:caps w:val="0"/>
      <w:smallCaps w:val="0"/>
      <w:color w:val="1E1E1E"/>
      <w:sz w:val="18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Tinted Header · Hairline Rules — Chemist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