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Dr. Nazia Rahman</w:t>
      </w:r>
    </w:p>
    <w:p>
      <w:pPr>
        <w:pStyle w:val="Role"/>
        <w:tabs>
          <w:tab w:pos="9638" w:val="right"/>
        </w:tabs>
      </w:pPr>
      <w:r>
        <w:t>MS (Obstetrics &amp; Gynaecology), DNB, FMAS</w:t>
      </w:r>
      <w:r>
        <w:tab/>
      </w:r>
      <w:r>
        <w:rPr>
          <w:i w:val="0"/>
          <w:color w:val="555555"/>
          <w:sz w:val="21"/>
          <w:szCs w:val="21"/>
        </w:rPr>
        <w:t>nazia.rahman@hospital.example</w:t>
      </w:r>
    </w:p>
    <w:p>
      <w:pPr>
        <w:pStyle w:val="Contact"/>
        <w:pBdr>
          <w:bottom w:val="single" w:sz="12" w:space="6" w:color="A16207"/>
        </w:pBdr>
        <w:tabs>
          <w:tab w:pos="9638" w:val="right"/>
        </w:tabs>
      </w:pPr>
      <w:r>
        <w:t>Lucknow, Uttar Pradesh</w:t>
      </w:r>
      <w:r>
        <w:tab/>
      </w:r>
      <w:r>
        <w:t>+91 94150 62873</w:t>
      </w:r>
    </w:p>
    <w:p>
      <w:pPr>
        <w:pStyle w:val="SectionHeading"/>
      </w:pPr>
      <w:r>
        <w:t>Profile</w:t>
      </w:r>
    </w:p>
    <w:p>
      <w:pPr>
        <w:pStyle w:val="Summary"/>
      </w:pPr>
      <w:r>
        <w:t>Obstetrician and laparoscopic surgeon with 13 years in high-risk pregnancy care and minimal-access gynaecology. Has led maternal-safety drills that made her unit a state training site.</w:t>
      </w:r>
    </w:p>
    <w:p>
      <w:pPr>
        <w:pStyle w:val="SectionHeading"/>
      </w:pPr>
      <w:r>
        <w:t>Clinical Appointments</w:t>
      </w:r>
    </w:p>
    <w:p>
      <w:pPr>
        <w:pStyle w:val="EntryTitle"/>
      </w:pPr>
      <w:r>
        <w:t>Senior Consultant, Obstetrics &amp; Gynaecology</w:t>
      </w:r>
      <w:r>
        <w:rPr>
          <w:b w:val="0"/>
          <w:i/>
          <w:color w:val="A16207"/>
          <w:sz w:val="21"/>
          <w:szCs w:val="21"/>
        </w:rPr>
        <w:t xml:space="preserve">  ·  2017 – Present</w:t>
      </w:r>
    </w:p>
    <w:p>
      <w:pPr>
        <w:pStyle w:val="EntryMeta"/>
      </w:pPr>
      <w:r>
        <w:t>Gomti Valley Hospital, Lucknow</w:t>
      </w:r>
    </w:p>
    <w:p>
      <w:pPr>
        <w:pStyle w:val="ResumeBullet"/>
      </w:pPr>
      <w:r>
        <w:t>Lead a high-risk pregnancy unit handling 3,000 deliveries a year.</w:t>
      </w:r>
    </w:p>
    <w:p>
      <w:pPr>
        <w:pStyle w:val="ResumeBullet"/>
      </w:pPr>
      <w:r>
        <w:t>Perform 250+ laparoscopic procedures a year, including total laparoscopic hysterectomy.</w:t>
      </w:r>
    </w:p>
    <w:p>
      <w:pPr>
        <w:pStyle w:val="ResumeBullet"/>
      </w:pPr>
      <w:r>
        <w:t>Introduced monthly postpartum haemorrhage drills; unit became a state training site.</w:t>
      </w:r>
    </w:p>
    <w:p>
      <w:pPr>
        <w:pStyle w:val="EntryTitle"/>
      </w:pPr>
      <w:r>
        <w:t>Consultant</w:t>
      </w:r>
      <w:r>
        <w:rPr>
          <w:b w:val="0"/>
          <w:i/>
          <w:color w:val="A16207"/>
          <w:sz w:val="21"/>
          <w:szCs w:val="21"/>
        </w:rPr>
        <w:t xml:space="preserve">  ·  2013 – 2017</w:t>
      </w:r>
    </w:p>
    <w:p>
      <w:pPr>
        <w:pStyle w:val="EntryMeta"/>
      </w:pPr>
      <w:r>
        <w:t>City Women's Hospital, Kanpur</w:t>
      </w:r>
    </w:p>
    <w:p>
      <w:pPr>
        <w:pStyle w:val="ResumeBullet"/>
      </w:pPr>
      <w:r>
        <w:t>Ran antenatal clinics and the labour room; mentored 12 junior residents.</w:t>
      </w:r>
    </w:p>
    <w:p>
      <w:pPr>
        <w:pStyle w:val="EntryTitle"/>
      </w:pPr>
      <w:r>
        <w:t>Senior Resident</w:t>
      </w:r>
      <w:r>
        <w:rPr>
          <w:b w:val="0"/>
          <w:i/>
          <w:color w:val="A16207"/>
          <w:sz w:val="21"/>
          <w:szCs w:val="21"/>
        </w:rPr>
        <w:t xml:space="preserve">  ·  2012 – 2013</w:t>
      </w:r>
    </w:p>
    <w:p>
      <w:pPr>
        <w:pStyle w:val="EntryMeta"/>
      </w:pPr>
      <w:r>
        <w:t>Awadh Institute of Medical Sciences</w:t>
      </w:r>
    </w:p>
    <w:p>
      <w:pPr>
        <w:pStyle w:val="ResumeBullet"/>
      </w:pPr>
      <w:r>
        <w:t>Obstetric emergencies and gynaecological oncology rotations.</w:t>
      </w:r>
    </w:p>
    <w:p>
      <w:pPr>
        <w:pStyle w:val="SectionHeading"/>
      </w:pPr>
      <w:r>
        <w:t>Certifications &amp; Registrations</w:t>
      </w:r>
    </w:p>
    <w:p>
      <w:pPr>
        <w:pStyle w:val="ResumeBullet"/>
      </w:pPr>
      <w:r>
        <w:t>Registered Medical Practitioner, state medical council (registration on file)</w:t>
      </w:r>
    </w:p>
    <w:p>
      <w:pPr>
        <w:pStyle w:val="ResumeBullet"/>
      </w:pPr>
      <w:r>
        <w:t>Certified trainer, emergency obstetric care (national programme)</w:t>
      </w:r>
    </w:p>
    <w:p>
      <w:pPr>
        <w:pStyle w:val="SectionHeading"/>
      </w:pPr>
      <w:r>
        <w:t>Education</w:t>
      </w:r>
    </w:p>
    <w:p>
      <w:pPr>
        <w:pStyle w:val="EntryTitle"/>
      </w:pPr>
      <w:r>
        <w:t>Fellowship in Minimal Access Surgery (FMAS)</w:t>
      </w:r>
      <w:r>
        <w:rPr>
          <w:b w:val="0"/>
          <w:i/>
          <w:color w:val="A16207"/>
          <w:sz w:val="21"/>
          <w:szCs w:val="21"/>
        </w:rPr>
        <w:t xml:space="preserve">  ·  2016</w:t>
      </w:r>
    </w:p>
    <w:p>
      <w:pPr>
        <w:pStyle w:val="EntryMeta"/>
      </w:pPr>
      <w:r>
        <w:t>Association of Gynaecological Endoscopists (national body)</w:t>
      </w:r>
    </w:p>
    <w:p>
      <w:pPr>
        <w:pStyle w:val="EntryTitle"/>
      </w:pPr>
      <w:r>
        <w:t>DNB, Obstetrics &amp; Gynaecology</w:t>
      </w:r>
      <w:r>
        <w:rPr>
          <w:b w:val="0"/>
          <w:i/>
          <w:color w:val="A16207"/>
          <w:sz w:val="21"/>
          <w:szCs w:val="21"/>
        </w:rPr>
        <w:t xml:space="preserve">  ·  2013</w:t>
      </w:r>
    </w:p>
    <w:p>
      <w:pPr>
        <w:pStyle w:val="EntryMeta"/>
      </w:pPr>
      <w:r>
        <w:t>National Board of Examinations</w:t>
      </w:r>
    </w:p>
    <w:p>
      <w:pPr>
        <w:pStyle w:val="EntryTitle"/>
      </w:pPr>
      <w:r>
        <w:t>MS, Obstetrics &amp; Gynaecology</w:t>
      </w:r>
      <w:r>
        <w:rPr>
          <w:b w:val="0"/>
          <w:i/>
          <w:color w:val="A16207"/>
          <w:sz w:val="21"/>
          <w:szCs w:val="21"/>
        </w:rPr>
        <w:t xml:space="preserve">  ·  2009 – 2012</w:t>
      </w:r>
    </w:p>
    <w:p>
      <w:pPr>
        <w:pStyle w:val="EntryMeta"/>
      </w:pPr>
      <w:r>
        <w:t>Awadh Institute of Medical Sciences</w:t>
      </w:r>
    </w:p>
    <w:p>
      <w:pPr>
        <w:pStyle w:val="EntryTitle"/>
      </w:pPr>
      <w:r>
        <w:t>MBBS</w:t>
      </w:r>
      <w:r>
        <w:rPr>
          <w:b w:val="0"/>
          <w:i/>
          <w:color w:val="A16207"/>
          <w:sz w:val="21"/>
          <w:szCs w:val="21"/>
        </w:rPr>
        <w:t xml:space="preserve">  ·  2003 – 2009</w:t>
      </w:r>
    </w:p>
    <w:p>
      <w:pPr>
        <w:pStyle w:val="EntryMeta"/>
      </w:pPr>
      <w:r>
        <w:t>Awadh Institute of Medical Sciences</w:t>
      </w:r>
    </w:p>
    <w:p>
      <w:pPr>
        <w:pStyle w:val="BodyText"/>
      </w:pPr>
      <w:r>
        <w:t>Honours in Obstetrics</w:t>
      </w:r>
    </w:p>
    <w:p>
      <w:pPr>
        <w:pStyle w:val="SectionHeading"/>
      </w:pPr>
      <w:r>
        <w:t>Skills</w:t>
      </w:r>
    </w:p>
    <w:p>
      <w:pPr>
        <w:pStyle w:val="BodyText"/>
      </w:pPr>
      <w:r>
        <w:rPr>
          <w:b/>
          <w:bCs/>
        </w:rPr>
        <w:t xml:space="preserve">Clinical: </w:t>
      </w:r>
      <w:r>
        <w:t>High-risk obstetrics, operative laparoscopy, hysteroscopy, colposcopy</w:t>
      </w:r>
    </w:p>
    <w:p>
      <w:pPr>
        <w:pStyle w:val="BodyText"/>
      </w:pPr>
      <w:r>
        <w:rPr>
          <w:b/>
          <w:bCs/>
        </w:rPr>
        <w:t xml:space="preserve">Other: </w:t>
      </w:r>
      <w:r>
        <w:t>Clinical audit, labour-room protocols, counselling</w:t>
      </w:r>
    </w:p>
    <w:p>
      <w:pPr>
        <w:pStyle w:val="BodyText"/>
      </w:pPr>
      <w:r>
        <w:rPr>
          <w:b/>
          <w:bCs/>
        </w:rPr>
        <w:t xml:space="preserve">Languages: </w:t>
      </w:r>
      <w:r>
        <w:t>Urdu, Hindi, English</w:t>
      </w:r>
    </w:p>
    <w:p>
      <w:pPr>
        <w:pStyle w:val="SectionHeading"/>
      </w:pPr>
      <w:r>
        <w:t>Grants, Awards &amp; Honours</w:t>
      </w:r>
    </w:p>
    <w:p>
      <w:pPr>
        <w:pStyle w:val="ResumeBullet"/>
      </w:pPr>
      <w:r>
        <w:t>Best Paper, Indian federation of obstetrics congress (2021)</w:t>
      </w:r>
    </w:p>
    <w:p>
      <w:pPr>
        <w:pStyle w:val="ResumeBullet"/>
      </w:pPr>
      <w:r>
        <w:t>Excellence in maternal care award, state health department (2023)</w:t>
      </w:r>
    </w:p>
    <w:p>
      <w:pPr>
        <w:pStyle w:val="SectionHeading"/>
      </w:pPr>
      <w:r>
        <w:t>Publications</w:t>
      </w:r>
    </w:p>
    <w:p>
      <w:pPr>
        <w:pStyle w:val="Citation"/>
      </w:pPr>
      <w:r>
        <w:rPr>
          <w:b/>
          <w:bCs/>
          <w:color w:val="A16207"/>
        </w:rPr>
        <w:t xml:space="preserve">[1]  </w:t>
      </w:r>
      <w:r>
        <w:t xml:space="preserve">Rao, S., Fischer, A., </w:t>
      </w:r>
      <w:r>
        <w:rPr>
          <w:b/>
          <w:bCs/>
        </w:rPr>
        <w:t>Rahman, N.</w:t>
      </w:r>
      <w:r>
        <w:t>, &amp; Chen, L.</w:t>
      </w:r>
      <w:r>
        <w:t xml:space="preserve"> (2026). Understanding induction of labour practices. </w:t>
      </w:r>
      <w:r>
        <w:rPr>
          <w:i/>
        </w:rPr>
        <w:t>Journal of Obstetrics and Women's Health</w:t>
      </w:r>
      <w:r>
        <w:t>, 9(7), 727–749.</w:t>
      </w:r>
    </w:p>
    <w:p>
      <w:pPr>
        <w:pStyle w:val="Citation"/>
      </w:pPr>
      <w:r>
        <w:rPr>
          <w:b/>
          <w:bCs/>
          <w:color w:val="A16207"/>
        </w:rPr>
        <w:t xml:space="preserve">[2]  </w:t>
      </w:r>
      <w:r>
        <w:t xml:space="preserve">Iyer, M., &amp; </w:t>
      </w:r>
      <w:r>
        <w:rPr>
          <w:b/>
          <w:bCs/>
        </w:rPr>
        <w:t>Rahman, N.</w:t>
      </w:r>
      <w:r/>
      <w:r>
        <w:t xml:space="preserve"> (2026). New approaches to anaemia in pregnancy. </w:t>
      </w:r>
      <w:r>
        <w:rPr>
          <w:i/>
        </w:rPr>
        <w:t>Proceedings of the Indian Federation of Obstetrics Congress</w:t>
      </w:r>
      <w:r>
        <w:t>, pp. 801–813.</w:t>
      </w:r>
    </w:p>
    <w:p>
      <w:pPr>
        <w:pStyle w:val="Citation"/>
      </w:pPr>
      <w:r>
        <w:rPr>
          <w:b/>
          <w:bCs/>
          <w:color w:val="A16207"/>
        </w:rPr>
        <w:t xml:space="preserve">[3]  </w:t>
      </w:r>
      <w:r>
        <w:t xml:space="preserve">Chen, L., Gupta, R., </w:t>
      </w:r>
      <w:r>
        <w:rPr>
          <w:b/>
          <w:bCs/>
        </w:rPr>
        <w:t>Rahman, N.</w:t>
      </w:r>
      <w:r>
        <w:t>, &amp; Rao, S.</w:t>
      </w:r>
      <w:r>
        <w:t xml:space="preserve"> (2026). New approaches to PCOS and metabolic risk. </w:t>
      </w:r>
      <w:r>
        <w:rPr>
          <w:i/>
        </w:rPr>
        <w:t>Maternal-Fetal Medicine Letters</w:t>
      </w:r>
      <w:r>
        <w:t>, 29(11), 559–572.</w:t>
      </w:r>
    </w:p>
    <w:p>
      <w:pPr>
        <w:pStyle w:val="Citation"/>
      </w:pPr>
      <w:r>
        <w:rPr>
          <w:b/>
          <w:bCs/>
          <w:color w:val="A16207"/>
        </w:rPr>
        <w:t xml:space="preserve">[4]  </w:t>
      </w:r>
      <w:r/>
      <w:r>
        <w:rPr>
          <w:b/>
          <w:bCs/>
        </w:rPr>
        <w:t>Rahman, N.</w:t>
      </w:r>
      <w:r>
        <w:t>, &amp; Sato, Y.</w:t>
      </w:r>
      <w:r>
        <w:t xml:space="preserve"> (2025). Understanding induction of labour practices. </w:t>
      </w:r>
      <w:r>
        <w:rPr>
          <w:i/>
        </w:rPr>
        <w:t>Journal of Obstetrics and Women's Health</w:t>
      </w:r>
      <w:r>
        <w:t>, 6(3), 109–119.</w:t>
      </w:r>
    </w:p>
    <w:p>
      <w:pPr>
        <w:pStyle w:val="Citation"/>
      </w:pPr>
      <w:r>
        <w:rPr>
          <w:b/>
          <w:bCs/>
          <w:color w:val="A16207"/>
        </w:rPr>
        <w:t xml:space="preserve">[5]  </w:t>
      </w:r>
      <w:r/>
      <w:r>
        <w:rPr>
          <w:b/>
          <w:bCs/>
        </w:rPr>
        <w:t>Rahman, N.</w:t>
      </w:r>
      <w:r>
        <w:t>, Banerjee, P., &amp; Menon, V.</w:t>
      </w:r>
      <w:r>
        <w:t xml:space="preserve"> (2025). Towards PCOS and metabolic risk. </w:t>
      </w:r>
      <w:r>
        <w:rPr>
          <w:i/>
        </w:rPr>
        <w:t>Journal of Obstetrics and Women's Health</w:t>
      </w:r>
      <w:r>
        <w:t>, 16(11), 734–755.</w:t>
      </w:r>
    </w:p>
    <w:p>
      <w:pPr>
        <w:pStyle w:val="Citation"/>
      </w:pPr>
      <w:r>
        <w:rPr>
          <w:b/>
          <w:bCs/>
          <w:color w:val="A16207"/>
        </w:rPr>
        <w:t xml:space="preserve">[6]  </w:t>
      </w:r>
      <w:r>
        <w:t xml:space="preserve">Mensah, K., Fischer, A., </w:t>
      </w:r>
      <w:r>
        <w:rPr>
          <w:b/>
          <w:bCs/>
        </w:rPr>
        <w:t>Rahman, N.</w:t>
      </w:r>
      <w:r>
        <w:t>, &amp; Rao, S.</w:t>
      </w:r>
      <w:r>
        <w:t xml:space="preserve"> (2025). A study of postpartum haemorrhage protocols. </w:t>
      </w:r>
      <w:r>
        <w:rPr>
          <w:i/>
        </w:rPr>
        <w:t>Reproductive Health Review</w:t>
      </w:r>
      <w:r>
        <w:t>, 45(5), 382–390.</w:t>
      </w:r>
    </w:p>
    <w:p>
      <w:pPr>
        <w:pStyle w:val="Citation"/>
      </w:pPr>
      <w:r>
        <w:rPr>
          <w:b/>
          <w:bCs/>
          <w:color w:val="A16207"/>
        </w:rPr>
        <w:t xml:space="preserve">[7]  </w:t>
      </w:r>
      <w:r>
        <w:t xml:space="preserve">Sato, Y., Banerjee, P., Okafor, D., &amp; </w:t>
      </w:r>
      <w:r>
        <w:rPr>
          <w:b/>
          <w:bCs/>
        </w:rPr>
        <w:t>Rahman, N.</w:t>
      </w:r>
      <w:r/>
      <w:r>
        <w:t xml:space="preserve"> (2024). Rethinking anaemia in pregnancy. </w:t>
      </w:r>
      <w:r>
        <w:rPr>
          <w:i/>
        </w:rPr>
        <w:t>Proceedings of the Indian Federation of Obstetrics Congress</w:t>
      </w:r>
      <w:r>
        <w:t>, pp. 183–193.</w:t>
      </w:r>
    </w:p>
    <w:p>
      <w:pPr>
        <w:pStyle w:val="Citation"/>
      </w:pPr>
      <w:r>
        <w:rPr>
          <w:b/>
          <w:bCs/>
          <w:color w:val="A16207"/>
        </w:rPr>
        <w:t xml:space="preserve">[8]  </w:t>
      </w:r>
      <w:r/>
      <w:r>
        <w:rPr>
          <w:b/>
          <w:bCs/>
        </w:rPr>
        <w:t>Rahman, N.</w:t>
      </w:r>
      <w:r>
        <w:t>, Mensah, K., Menon, V., &amp; Okafor, D.</w:t>
      </w:r>
      <w:r>
        <w:t xml:space="preserve"> (2024). Measuring laparoscopic hysterectomy outcomes. </w:t>
      </w:r>
      <w:r>
        <w:rPr>
          <w:i/>
        </w:rPr>
        <w:t>Maternal-Fetal Medicine Letters</w:t>
      </w:r>
      <w:r>
        <w:t>, 36(1), 151–164.</w:t>
      </w:r>
    </w:p>
    <w:p>
      <w:pPr>
        <w:pStyle w:val="Citation"/>
      </w:pPr>
      <w:r>
        <w:rPr>
          <w:b/>
          <w:bCs/>
          <w:color w:val="A16207"/>
        </w:rPr>
        <w:t xml:space="preserve">[9]  </w:t>
      </w:r>
      <w:r>
        <w:t xml:space="preserve">Banerjee, P., Mensah, K., &amp; </w:t>
      </w:r>
      <w:r>
        <w:rPr>
          <w:b/>
          <w:bCs/>
        </w:rPr>
        <w:t>Rahman, N.</w:t>
      </w:r>
      <w:r/>
      <w:r>
        <w:t xml:space="preserve"> (2024). Towards gestational diabetes screening. </w:t>
      </w:r>
      <w:r>
        <w:rPr>
          <w:i/>
        </w:rPr>
        <w:t>Proceedings of the Indian Federation of Obstetrics Congress</w:t>
      </w:r>
      <w:r>
        <w:t>, pp. 618–631.</w:t>
      </w:r>
    </w:p>
    <w:p>
      <w:pPr>
        <w:pStyle w:val="Citation"/>
      </w:pPr>
      <w:r>
        <w:rPr>
          <w:b/>
          <w:bCs/>
          <w:color w:val="A16207"/>
        </w:rPr>
        <w:t xml:space="preserve">[10]  </w:t>
      </w:r>
      <w:r/>
      <w:r>
        <w:rPr>
          <w:b/>
          <w:bCs/>
        </w:rPr>
        <w:t>Rahman, N.</w:t>
      </w:r>
      <w:r>
        <w:t>, Okafor, D., &amp; Kim, J.</w:t>
      </w:r>
      <w:r>
        <w:t xml:space="preserve"> (2023). New approaches to induction of labour practices. </w:t>
      </w:r>
      <w:r>
        <w:rPr>
          <w:i/>
        </w:rPr>
        <w:t>Reproductive Health Review</w:t>
      </w:r>
      <w:r>
        <w:t>, 10(8), 432–444.</w:t>
      </w:r>
    </w:p>
    <w:p>
      <w:pPr>
        <w:pStyle w:val="SectionHeading"/>
      </w:pPr>
      <w:r>
        <w:t>Conference Presentations &amp; Invited Talks</w:t>
      </w:r>
    </w:p>
    <w:p>
      <w:pPr>
        <w:pStyle w:val="ResumeBullet"/>
      </w:pPr>
      <w:r>
        <w:t>Invited talk: “Towards induction of labour practices”, Proceedings of the Indian Federation of Obstetrics Congress, Boston, 2026.</w:t>
      </w:r>
    </w:p>
    <w:p>
      <w:pPr>
        <w:pStyle w:val="ResumeBullet"/>
      </w:pPr>
      <w:r>
        <w:t>Seminar: “Scaling anaemia in pregnancy”, Maternal-Fetal Medicine Letters, New Delhi, 2026.</w:t>
      </w:r>
    </w:p>
    <w:p>
      <w:pPr>
        <w:pStyle w:val="ResumeBullet"/>
      </w:pPr>
      <w:r>
        <w:t>Poster: “Scaling anaemia in pregnancy”, Proceedings of the Indian Federation of Obstetrics Congress, Bengaluru, 2025.</w:t>
      </w:r>
    </w:p>
    <w:p>
      <w:pPr>
        <w:pStyle w:val="ResumeBullet"/>
      </w:pPr>
      <w:r>
        <w:t>Seminar: “Scaling postpartum haemorrhage protocols”, Maternal-Fetal Medicine Letters, Melbourne, 2025.</w:t>
      </w:r>
    </w:p>
    <w:p>
      <w:pPr>
        <w:pStyle w:val="ResumeBullet"/>
      </w:pPr>
      <w:r>
        <w:t>Invited talk: “Measuring induction of labour practices”, Symposium on Obstetrics and Women's Health, Berlin, 2024.</w:t>
      </w:r>
    </w:p>
    <w:p>
      <w:pPr>
        <w:pStyle w:val="ResumeBullet"/>
      </w:pPr>
      <w:r>
        <w:t>Seminar: “Towards laparoscopic hysterectomy outcomes”, Maternal-Fetal Medicine Letters, Boston, 2024.</w:t>
      </w:r>
    </w:p>
    <w:p>
      <w:pPr>
        <w:pStyle w:val="ResumeBullet"/>
      </w:pPr>
      <w:r>
        <w:t>Invited talk: “Revisiting laparoscopic hysterectomy outcomes”, Proceedings of the Indian Federation of Obstetrics Congress, Singapore, 2023.</w:t>
      </w:r>
    </w:p>
    <w:p>
      <w:pPr>
        <w:pStyle w:val="ResumeBullet"/>
      </w:pPr>
      <w:r>
        <w:t>Keynote: “Revisiting induction of labour practices”, Symposium on Obstetrics and Women's Health, London, 2023.</w:t>
      </w:r>
    </w:p>
    <w:p>
      <w:pPr>
        <w:pStyle w:val="SectionHeading"/>
      </w:pPr>
      <w:r>
        <w:t>Teaching</w:t>
      </w:r>
    </w:p>
    <w:p>
      <w:pPr>
        <w:pStyle w:val="ResumeBullet"/>
      </w:pPr>
      <w:r>
        <w:t>DNB teacher and thesis guide (2018–present)</w:t>
      </w:r>
    </w:p>
    <w:p>
      <w:pPr>
        <w:pStyle w:val="ResumeBullet"/>
      </w:pPr>
      <w:r>
        <w:t>Trainer, skilled birth attendance for nurses (district programme)</w:t>
      </w:r>
    </w:p>
    <w:p>
      <w:pPr>
        <w:pStyle w:val="SectionHeading"/>
      </w:pPr>
      <w:r>
        <w:t>Professional Service</w:t>
      </w:r>
    </w:p>
    <w:p>
      <w:pPr>
        <w:pStyle w:val="ResumeBullet"/>
      </w:pPr>
      <w:r>
        <w:t>Secretary, Lucknow obstetrics and gynaecology society (2022–2024)</w:t>
      </w:r>
    </w:p>
    <w:p>
      <w:pPr>
        <w:pStyle w:val="ResumeBullet"/>
      </w:pPr>
      <w:r>
        <w:t>Free cervical-cancer screening camps (over 4,000 women screened)</w:t>
      </w:r>
    </w:p>
    <w:p>
      <w:pPr>
        <w:pStyle w:val="SectionHeading"/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Dr. S. Tandon</w:t>
      </w:r>
    </w:p>
    <w:p>
      <w:pPr>
        <w:pStyle w:val="BodyText"/>
        <w:keepNext/>
        <w:spacing w:after="0"/>
      </w:pPr>
      <w:r>
        <w:t>Medical Superintendent, Gomti Valley Hospital</w:t>
      </w:r>
    </w:p>
    <w:p>
      <w:pPr>
        <w:pStyle w:val="BodyText"/>
        <w:spacing w:after="100"/>
      </w:pPr>
      <w:r>
        <w:t>s.tandon@hospital.example</w:t>
      </w:r>
    </w:p>
    <w:p>
      <w:pPr>
        <w:pStyle w:val="BodyText"/>
        <w:keepNext/>
        <w:spacing w:after="0"/>
      </w:pPr>
      <w:r>
        <w:rPr>
          <w:b/>
          <w:bCs/>
        </w:rPr>
        <w:t>Prof. A. Srivastava</w:t>
      </w:r>
    </w:p>
    <w:p>
      <w:pPr>
        <w:pStyle w:val="BodyText"/>
        <w:keepNext/>
        <w:spacing w:after="0"/>
      </w:pPr>
      <w:r>
        <w:t>Head, OBG, Awadh Institute of Medical Sciences</w:t>
      </w:r>
    </w:p>
    <w:p>
      <w:pPr>
        <w:pStyle w:val="BodyText"/>
        <w:spacing w:after="100"/>
      </w:pPr>
      <w:r>
        <w:t>a.srivastava@institute.edu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 w:cs="Calibri"/>
        <w:color w:val="888888"/>
        <w:sz w:val="16"/>
        <w:szCs w:val="16"/>
      </w:rPr>
      <w:t xml:space="preserve">Page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PAGE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  <w:r>
      <w:rPr>
        <w:rFonts w:ascii="Calibri" w:hAnsi="Calibri" w:eastAsia="Calibri" w:cs="Calibri"/>
        <w:color w:val="888888"/>
        <w:sz w:val="16"/>
        <w:szCs w:val="16"/>
      </w:rPr>
      <w:t xml:space="preserve"> of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NUMPAGES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 w:cs="Calibri"/>
        <w:color w:val="888888"/>
        <w:sz w:val="16"/>
        <w:szCs w:val="16"/>
      </w:rPr>
      <w:t xml:space="preserve">Page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PAGE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  <w:r>
      <w:rPr>
        <w:rFonts w:ascii="Calibri" w:hAnsi="Calibri" w:eastAsia="Calibri" w:cs="Calibri"/>
        <w:color w:val="888888"/>
        <w:sz w:val="16"/>
        <w:szCs w:val="16"/>
      </w:rPr>
      <w:t xml:space="preserve"> of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NUMPAGES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Dr. Nazia Rahman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›"/>
      <w:lvlJc w:val="left"/>
      <w:pPr>
        <w:ind w:left="283" w:hanging="227"/>
      </w:pPr>
      <w:rPr>
        <w:rFonts w:ascii="Arial" w:hAnsi="Arial" w:cs="Arial" w:hint="default"/>
        <w:color w:val="A16207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Calibri" w:hAnsi="Calibri" w:eastAsia="Calibri" w:cs="Mukta"/>
      <w:color w:val="1E1E1E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Calibri" w:hAnsi="Calibri" w:eastAsia="Calibri" w:cs="Mukta"/>
      <w:b w:val="0"/>
      <w:i w:val="0"/>
      <w:caps w:val="0"/>
      <w:smallCaps w:val="0"/>
      <w:color w:val="1E1E1E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Cambria" w:hAnsi="Cambria" w:eastAsia="Cambria" w:cs="Mukta"/>
      <w:b/>
      <w:bCs/>
      <w:i w:val="0"/>
      <w:caps/>
      <w:smallCaps w:val="0"/>
      <w:color w:val="1E1E1E"/>
      <w:spacing w:val="40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Calibri" w:hAnsi="Calibri" w:eastAsia="Calibri" w:cs="Mukta"/>
      <w:b w:val="0"/>
      <w:i w:val="0"/>
      <w:caps w:val="0"/>
      <w:smallCaps w:val="0"/>
      <w:color w:val="1E1E1E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Calibri" w:hAnsi="Calibri" w:eastAsia="Calibri" w:cs="Mukta"/>
      <w:b w:val="0"/>
      <w:i w:val="0"/>
      <w:caps w:val="0"/>
      <w:smallCaps w:val="0"/>
      <w:color w:val="555555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Cambria" w:hAnsi="Cambria" w:eastAsia="Cambria" w:cs="Mukta"/>
      <w:b/>
      <w:bCs/>
      <w:i w:val="0"/>
      <w:caps/>
      <w:smallCaps w:val="0"/>
      <w:color w:val="A16207"/>
      <w:spacing w:val="28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Calibri" w:hAnsi="Calibri" w:eastAsia="Calibri" w:cs="Mukta"/>
      <w:b w:val="0"/>
      <w:i w:val="0"/>
      <w:caps w:val="0"/>
      <w:smallCaps w:val="0"/>
      <w:color w:val="1E1E1E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Calibri" w:hAnsi="Calibri" w:eastAsia="Calibri" w:cs="Mukta"/>
      <w:b/>
      <w:bCs/>
      <w:i w:val="0"/>
      <w:caps w:val="0"/>
      <w:smallCaps w:val="0"/>
      <w:color w:val="1E1E1E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libri" w:hAnsi="Calibri" w:eastAsia="Calibri" w:cs="Mukta"/>
      <w:b w:val="0"/>
      <w:i/>
      <w:caps w:val="0"/>
      <w:smallCaps w:val="0"/>
      <w:color w:val="444444"/>
      <w:sz w:val="22"/>
      <w:szCs w:val="22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Calibri" w:hAnsi="Calibri" w:eastAsia="Calibri" w:cs="Mukta"/>
      <w:b w:val="0"/>
      <w:i w:val="0"/>
      <w:caps w:val="0"/>
      <w:smallCaps w:val="0"/>
      <w:color w:val="1E1E1E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Calibri" w:hAnsi="Calibri" w:eastAsia="Calibri" w:cs="Mukta"/>
      <w:b w:val="0"/>
      <w:i w:val="0"/>
      <w:caps w:val="0"/>
      <w:smallCaps w:val="0"/>
      <w:color w:val="1E1E1E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 Header · Plain Caps — Obstetrician &amp; Gynaecologist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