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left w:val="single" w:sz="48" w:space="12" w:color="7C2D12"/>
        </w:pBdr>
        <w:ind w:left="283"/>
      </w:pPr>
      <w:r>
        <w:t>Arvind Raghavan, CFA</w:t>
      </w:r>
    </w:p>
    <w:p>
      <w:pPr>
        <w:pStyle w:val="Role"/>
        <w:pBdr>
          <w:left w:val="single" w:sz="48" w:space="12" w:color="7C2D12"/>
        </w:pBdr>
        <w:ind w:left="283"/>
      </w:pPr>
      <w:r>
        <w:t>Chief Financial Officer</w:t>
      </w:r>
    </w:p>
    <w:p>
      <w:pPr>
        <w:pStyle w:val="Contact"/>
        <w:pBdr>
          <w:left w:val="single" w:sz="48" w:space="12" w:color="7C2D12"/>
        </w:pBdr>
        <w:spacing w:after="80"/>
        <w:ind w:left="283"/>
      </w:pPr>
      <w:r>
        <w:t>Chennai, India</w:t>
      </w:r>
      <w:r>
        <w:rPr>
          <w:color w:val="7C2D12"/>
        </w:rPr>
        <w:t xml:space="preserve">   |   </w:t>
      </w:r>
      <w:r>
        <w:t>+91 98400 26913</w:t>
      </w:r>
      <w:r>
        <w:rPr>
          <w:color w:val="7C2D12"/>
        </w:rPr>
        <w:t xml:space="preserve">   |   </w:t>
      </w:r>
      <w:r>
        <w:t>arvind.raghavan@email.com</w:t>
      </w:r>
      <w:r>
        <w:rPr>
          <w:color w:val="7C2D12"/>
        </w:rPr>
        <w:t xml:space="preserve">   |   </w:t>
      </w:r>
      <w:r>
        <w:t>linkedin.com/in/arvindraghavan</w:t>
      </w:r>
    </w:p>
    <w:p>
      <w:pPr>
        <w:pStyle w:val="SectionHeading"/>
        <w:pBdr>
          <w:bottom w:val="double" w:sz="6" w:space="2" w:color="7C2D12"/>
        </w:pBdr>
      </w:pPr>
      <w:r>
        <w:t>Profile</w:t>
      </w:r>
    </w:p>
    <w:p>
      <w:pPr>
        <w:pStyle w:val="Summary"/>
        <w:ind w:left="1531" w:right="0"/>
      </w:pPr>
      <w:r>
        <w:t>CFO with 18 years in corporate finance, investment banking and manufacturing. Led an IPO, raised ₹2,400 crore in debt and equity, and built finance teams that close the books in four days.</w:t>
      </w:r>
    </w:p>
    <w:p>
      <w:pPr>
        <w:pStyle w:val="SectionHeading"/>
        <w:pBdr>
          <w:bottom w:val="double" w:sz="6" w:space="2" w:color="7C2D12"/>
        </w:pBdr>
      </w:pPr>
      <w:r>
        <w:t>Professional Experience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2019 – Present</w:t>
      </w:r>
      <w:r>
        <w:tab/>
      </w:r>
      <w:r>
        <w:t>Chief Financial Officer</w:t>
      </w:r>
    </w:p>
    <w:p>
      <w:pPr>
        <w:pStyle w:val="EntryMeta"/>
        <w:ind w:left="1531" w:right="0"/>
      </w:pPr>
      <w:r>
        <w:t>Kaveri Precision Engineering Ltd.</w:t>
      </w:r>
    </w:p>
    <w:p>
      <w:pPr>
        <w:pStyle w:val="ResumeBullet"/>
      </w:pPr>
      <w:r>
        <w:t>Led the company's IPO (₹1,150 crore, oversubscribed 38 times).</w:t>
      </w:r>
    </w:p>
    <w:p>
      <w:pPr>
        <w:pStyle w:val="ResumeBullet"/>
      </w:pPr>
      <w:r>
        <w:t>Cut working-capital days from 96 to 61 and finance cost by ₹42 crore a year.</w:t>
      </w:r>
    </w:p>
    <w:p>
      <w:pPr>
        <w:pStyle w:val="ResumeBullet"/>
      </w:pPr>
      <w:r>
        <w:t>Built a 45-person finance team; monthly close in 4 working days.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2012 – 2019</w:t>
      </w:r>
      <w:r>
        <w:tab/>
      </w:r>
      <w:r>
        <w:t>Director, Investment Banking</w:t>
      </w:r>
    </w:p>
    <w:p>
      <w:pPr>
        <w:pStyle w:val="EntryMeta"/>
        <w:ind w:left="1531" w:right="0"/>
      </w:pPr>
      <w:r>
        <w:t>Harbourline Capital</w:t>
      </w:r>
    </w:p>
    <w:p>
      <w:pPr>
        <w:pStyle w:val="ResumeBullet"/>
      </w:pPr>
      <w:r>
        <w:t>Executed 22 transactions worth ₹18,000 crore across M&amp;A and capital markets.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2007 – 2012</w:t>
      </w:r>
      <w:r>
        <w:tab/>
      </w:r>
      <w:r>
        <w:t>Associate, Corporate Finance</w:t>
      </w:r>
    </w:p>
    <w:p>
      <w:pPr>
        <w:pStyle w:val="EntryMeta"/>
        <w:ind w:left="1531" w:right="0"/>
      </w:pPr>
      <w:r>
        <w:t>Deccan Steel Industries</w:t>
      </w:r>
    </w:p>
    <w:p>
      <w:pPr>
        <w:pStyle w:val="ResumeBullet"/>
      </w:pPr>
      <w:r>
        <w:t>Financial planning, budgeting and treasury for a ₹6,000-crore business.</w:t>
      </w:r>
    </w:p>
    <w:p>
      <w:pPr>
        <w:pStyle w:val="SectionHeading"/>
        <w:pBdr>
          <w:bottom w:val="double" w:sz="6" w:space="2" w:color="7C2D12"/>
        </w:pBdr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2005 – 2007</w:t>
      </w:r>
      <w:r>
        <w:tab/>
      </w:r>
      <w:r>
        <w:t>MBA, Finance</w:t>
      </w:r>
    </w:p>
    <w:p>
      <w:pPr>
        <w:pStyle w:val="EntryMeta"/>
        <w:ind w:left="1531" w:right="0"/>
      </w:pPr>
      <w:r>
        <w:t>Southern Institute of Management</w:t>
      </w:r>
    </w:p>
    <w:p>
      <w:pPr>
        <w:pStyle w:val="BodyText"/>
        <w:ind w:left="1531" w:right="0"/>
      </w:pPr>
      <w:r>
        <w:t>Dean's List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2004</w:t>
      </w:r>
      <w:r>
        <w:tab/>
      </w:r>
      <w:r>
        <w:t>Chartered Accountant</w:t>
      </w:r>
    </w:p>
    <w:p>
      <w:pPr>
        <w:pStyle w:val="EntryMeta"/>
        <w:ind w:left="1531" w:right="0"/>
      </w:pPr>
      <w:r>
        <w:t>Institute of Chartered Accountants (national body)</w:t>
      </w:r>
    </w:p>
    <w:p>
      <w:pPr>
        <w:pStyle w:val="BodyText"/>
        <w:ind w:left="1531" w:right="0"/>
      </w:pPr>
      <w:r>
        <w:t>All-India Rank 31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2000 – 2003</w:t>
      </w:r>
      <w:r>
        <w:tab/>
      </w:r>
      <w:r>
        <w:t>B.Com.</w:t>
      </w:r>
    </w:p>
    <w:p>
      <w:pPr>
        <w:pStyle w:val="EntryMeta"/>
        <w:ind w:left="1531" w:right="0"/>
      </w:pPr>
      <w:r>
        <w:t>Loyola Plains College, Chennai</w:t>
      </w:r>
    </w:p>
    <w:p>
      <w:pPr>
        <w:pStyle w:val="SectionHeading"/>
        <w:pBdr>
          <w:bottom w:val="double" w:sz="6" w:space="2" w:color="7C2D12"/>
        </w:pBdr>
      </w:pPr>
      <w:r>
        <w:t>Certifications</w:t>
      </w:r>
    </w:p>
    <w:p>
      <w:pPr>
        <w:pStyle w:val="ResumeBullet"/>
      </w:pPr>
      <w:r>
        <w:t>CFA Charterholder</w:t>
      </w:r>
    </w:p>
    <w:p>
      <w:pPr>
        <w:pStyle w:val="ResumeBullet"/>
      </w:pPr>
      <w:r>
        <w:t>Chartered Accountant</w:t>
      </w:r>
    </w:p>
    <w:p>
      <w:pPr>
        <w:pStyle w:val="ResumeBullet"/>
      </w:pPr>
      <w:r>
        <w:t>Independent Director databank (qualified)</w:t>
      </w:r>
    </w:p>
    <w:p>
      <w:pPr>
        <w:pStyle w:val="SectionHeading"/>
        <w:pBdr>
          <w:bottom w:val="double" w:sz="6" w:space="2" w:color="7C2D12"/>
        </w:pBdr>
      </w:pPr>
      <w:r>
        <w:t>Awards &amp; Honours</w:t>
      </w:r>
    </w:p>
    <w:p>
      <w:pPr>
        <w:pStyle w:val="ResumeBullet"/>
      </w:pPr>
      <w:r>
        <w:t>CFO of the Year (mid-cap), national finance awards (2024)</w:t>
      </w:r>
    </w:p>
    <w:p>
      <w:pPr>
        <w:pStyle w:val="ResumeBullet"/>
      </w:pPr>
      <w:r>
        <w:t>Best IPO of the year, capital markets forum (2021)</w:t>
      </w:r>
    </w:p>
    <w:p>
      <w:pPr>
        <w:pStyle w:val="SectionHeading"/>
        <w:pBdr>
          <w:bottom w:val="double" w:sz="6" w:space="2" w:color="7C2D12"/>
        </w:pBdr>
      </w:pPr>
      <w:r>
        <w:t>Teaching &amp; Training</w:t>
      </w:r>
    </w:p>
    <w:p>
      <w:pPr>
        <w:pStyle w:val="ResumeBullet"/>
      </w:pPr>
      <w:r>
        <w:t>Visiting faculty, Corporate Valuation, Southern Institute of Management</w:t>
      </w:r>
    </w:p>
    <w:p>
      <w:pPr>
        <w:pStyle w:val="SectionHeading"/>
        <w:pBdr>
          <w:bottom w:val="double" w:sz="6" w:space="2" w:color="7C2D12"/>
        </w:pBdr>
      </w:pPr>
      <w:r>
        <w:t>Committees &amp; Community</w:t>
      </w:r>
    </w:p>
    <w:p>
      <w:pPr>
        <w:pStyle w:val="ResumeBullet"/>
      </w:pPr>
      <w:r>
        <w:t>Independent director, a listed renewable-energy company (2023–present)</w:t>
      </w:r>
    </w:p>
    <w:p>
      <w:pPr>
        <w:pStyle w:val="ResumeBullet"/>
      </w:pPr>
      <w:r>
        <w:t>Treasurer, a school trust running 6 schools for 4,000 children</w:t>
      </w:r>
    </w:p>
    <w:p>
      <w:pPr>
        <w:pStyle w:val="SectionHeading"/>
        <w:pBdr>
          <w:bottom w:val="double" w:sz="6" w:space="2" w:color="7C2D12"/>
        </w:pBdr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Finance: </w:t>
      </w:r>
      <w:r>
        <w:t>Capital markets, M&amp;A, treasury, FP&amp;A, investor relations, Ind AS</w:t>
      </w:r>
    </w:p>
    <w:p>
      <w:pPr>
        <w:pStyle w:val="BodyText"/>
        <w:ind w:left="1531" w:right="0"/>
      </w:pPr>
      <w:r>
        <w:rPr>
          <w:b/>
          <w:bCs/>
        </w:rPr>
        <w:t xml:space="preserve">Tools: </w:t>
      </w:r>
      <w:r>
        <w:t>SAP S/4HANA, Excel modelling, Bloomberg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Tamil (native), English, Hindi</w:t>
      </w:r>
    </w:p>
    <w:p>
      <w:pPr>
        <w:pStyle w:val="SectionHeading"/>
        <w:pBdr>
          <w:bottom w:val="double" w:sz="6" w:space="2" w:color="7C2D12"/>
        </w:pBdr>
      </w:pPr>
      <w:r>
        <w:t>References</w:t>
      </w:r>
    </w:p>
    <w:p>
      <w:pPr>
        <w:pStyle w:val="BodyText"/>
        <w:ind w:left="1531" w:right="0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Arvind Raghavan, CFA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1814" w:hanging="227"/>
      </w:pPr>
      <w:rPr>
        <w:rFonts w:ascii="Segoe UI Symbol" w:hAnsi="Segoe UI Symbol" w:cs="Segoe UI Symbol" w:hint="default"/>
        <w:color w:val="7C2D1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ora" w:hAnsi="Lora" w:eastAsia="Lora" w:cs="Tiro Devanagari Hindi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Raleway" w:hAnsi="Raleway" w:eastAsia="Raleway" w:cs="Tiro Devanagari Hindi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Lora" w:hAnsi="Lora" w:eastAsia="Lora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ora" w:hAnsi="Lora" w:eastAsia="Lora" w:cs="Tiro Devanagari Hindi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Raleway" w:hAnsi="Raleway" w:eastAsia="Raleway" w:cs="Tiro Devanagari Hindi"/>
      <w:b/>
      <w:bCs/>
      <w:i w:val="0"/>
      <w:caps/>
      <w:smallCaps w:val="0"/>
      <w:color w:val="7C2D12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ora" w:hAnsi="Lora" w:eastAsia="Lora" w:cs="Tiro Devanagari Hindi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ora" w:hAnsi="Lora" w:eastAsia="Lora" w:cs="Tiro Devanagari Hindi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Lora" w:hAnsi="Lora" w:eastAsia="Lora" w:cs="Tiro Devanagari Hindi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Accent Bar · Double Rules — Chief Financial Officer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