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rPr>
          <w:b w:val="0"/>
          <w:color w:val="1E1E1E"/>
        </w:rPr>
        <w:t xml:space="preserve">Er. Faisal </w:t>
      </w:r>
      <w:r>
        <w:rPr>
          <w:b/>
          <w:bCs/>
          <w:color w:val="047857"/>
        </w:rPr>
        <w:t>Ahmed</w:t>
      </w:r>
    </w:p>
    <w:p>
      <w:pPr>
        <w:pStyle w:val="Role"/>
      </w:pPr>
      <w:r>
        <w:t>Project Manager, Metro Rail Infrastructure</w:t>
      </w:r>
    </w:p>
    <w:p>
      <w:pPr>
        <w:pStyle w:val="Contact"/>
      </w:pPr>
      <w:r>
        <w:t>Kolkata, India</w:t>
      </w:r>
      <w:r>
        <w:rPr>
          <w:color w:val="047857"/>
        </w:rPr>
        <w:t xml:space="preserve">  /  </w:t>
      </w:r>
      <w:r>
        <w:t>+91 98310 47265</w:t>
      </w:r>
      <w:r>
        <w:rPr>
          <w:color w:val="047857"/>
        </w:rPr>
        <w:t xml:space="preserve">  /  </w:t>
      </w:r>
      <w:r>
        <w:t>faisal.ahmed@email.com</w:t>
      </w:r>
    </w:p>
    <w:p>
      <w:pPr>
        <w:pStyle w:val="SectionHeading"/>
        <w:tabs>
          <w:tab w:pos="9524" w:val="right" w:leader="heavy"/>
        </w:tabs>
      </w:pPr>
      <w:r>
        <w:t xml:space="preserve">Profile  </w:t>
      </w:r>
      <w:r>
        <w:rPr>
          <w:color w:val="74B4A2"/>
        </w:rPr>
        <w:tab/>
      </w:r>
    </w:p>
    <w:p>
      <w:pPr>
        <w:pStyle w:val="Summary"/>
      </w:pPr>
      <w:r>
        <w:t>Civil engineer and PMP with 15 years delivering urban rail, elevated viaducts and underground stations. Delivered a 9.4 km elevated corridor ahead of schedule with zero fatal incidents.</w:t>
      </w:r>
    </w:p>
    <w:p>
      <w:pPr>
        <w:pStyle w:val="SectionHeading"/>
        <w:tabs>
          <w:tab w:pos="9524" w:val="right" w:leader="heavy"/>
        </w:tabs>
      </w:pPr>
      <w:r>
        <w:t xml:space="preserve">Professional Experience  </w:t>
      </w:r>
      <w:r>
        <w:rPr>
          <w:color w:val="74B4A2"/>
        </w:rPr>
        <w:tab/>
      </w:r>
    </w:p>
    <w:p>
      <w:pPr>
        <w:pStyle w:val="EntryTitle"/>
        <w:tabs>
          <w:tab w:pos="9524" w:val="right"/>
        </w:tabs>
      </w:pPr>
      <w:r>
        <w:t>Project Manager</w:t>
      </w:r>
      <w:r>
        <w:tab/>
      </w:r>
      <w:r>
        <w:rPr>
          <w:b w:val="0"/>
          <w:i w:val="0"/>
          <w:color w:val="555555"/>
        </w:rPr>
        <w:t>2019 – Present</w:t>
      </w:r>
    </w:p>
    <w:p>
      <w:pPr>
        <w:pStyle w:val="EntryMeta"/>
      </w:pPr>
      <w:r>
        <w:t>Urbanline Infra Projects (metro contractor)</w:t>
      </w:r>
    </w:p>
    <w:p>
      <w:pPr>
        <w:pStyle w:val="ResumeBullet"/>
      </w:pPr>
      <w:r>
        <w:t>Delivered a 9.4 km elevated metro corridor with 8 stations worth ₹2,100 crore, 3 months early.</w:t>
      </w:r>
    </w:p>
    <w:p>
      <w:pPr>
        <w:pStyle w:val="ResumeBullet"/>
      </w:pPr>
      <w:r>
        <w:t>Lead 45 engineers and 1,800 workers; 6.2 million safe man-hours without a fatal incident.</w:t>
      </w:r>
    </w:p>
    <w:p>
      <w:pPr>
        <w:pStyle w:val="ResumeBullet"/>
      </w:pPr>
      <w:r>
        <w:t>Introduced 4D BIM scheduling for all station works.</w:t>
      </w:r>
    </w:p>
    <w:p>
      <w:pPr>
        <w:pStyle w:val="EntryTitle"/>
        <w:tabs>
          <w:tab w:pos="9524" w:val="right"/>
        </w:tabs>
      </w:pPr>
      <w:r>
        <w:t>Senior Engineer, Underground Stations</w:t>
      </w:r>
      <w:r>
        <w:tab/>
      </w:r>
      <w:r>
        <w:rPr>
          <w:b w:val="0"/>
          <w:i w:val="0"/>
          <w:color w:val="555555"/>
        </w:rPr>
        <w:t>2013 – 2019</w:t>
      </w:r>
    </w:p>
    <w:p>
      <w:pPr>
        <w:pStyle w:val="EntryMeta"/>
      </w:pPr>
      <w:r>
        <w:t>Riverside Tunnelling Company</w:t>
      </w:r>
    </w:p>
    <w:p>
      <w:pPr>
        <w:pStyle w:val="ResumeBullet"/>
      </w:pPr>
      <w:r>
        <w:t>Cut-and-cover construction of 2 underground stations under a dense market area.</w:t>
      </w:r>
    </w:p>
    <w:p>
      <w:pPr>
        <w:pStyle w:val="EntryTitle"/>
        <w:tabs>
          <w:tab w:pos="9524" w:val="right"/>
        </w:tabs>
      </w:pPr>
      <w:r>
        <w:t>Site Engineer</w:t>
      </w:r>
      <w:r>
        <w:tab/>
      </w:r>
      <w:r>
        <w:rPr>
          <w:b w:val="0"/>
          <w:i w:val="0"/>
          <w:color w:val="555555"/>
        </w:rPr>
        <w:t>2010 – 2013</w:t>
      </w:r>
    </w:p>
    <w:p>
      <w:pPr>
        <w:pStyle w:val="EntryMeta"/>
      </w:pPr>
      <w:r>
        <w:t>Greenfield Infra Projects</w:t>
      </w:r>
    </w:p>
    <w:p>
      <w:pPr>
        <w:pStyle w:val="ResumeBullet"/>
      </w:pPr>
      <w:r>
        <w:t>Flyover and bridge construction; quality control and billing.</w:t>
      </w:r>
    </w:p>
    <w:p>
      <w:pPr>
        <w:pStyle w:val="SectionHeading"/>
        <w:tabs>
          <w:tab w:pos="9524" w:val="right" w:leader="heavy"/>
        </w:tabs>
      </w:pPr>
      <w:r>
        <w:t xml:space="preserve">Selected Projects  </w:t>
      </w:r>
      <w:r>
        <w:rPr>
          <w:color w:val="74B4A2"/>
        </w:rPr>
        <w:tab/>
      </w:r>
    </w:p>
    <w:p>
      <w:pPr>
        <w:pStyle w:val="EntryTitle"/>
        <w:tabs>
          <w:tab w:pos="9524" w:val="right"/>
        </w:tabs>
      </w:pPr>
      <w:r>
        <w:t>Elevated corridor, east–west line</w:t>
      </w:r>
      <w:r>
        <w:tab/>
      </w:r>
      <w:r>
        <w:rPr>
          <w:b w:val="0"/>
          <w:i w:val="0"/>
          <w:color w:val="555555"/>
        </w:rPr>
        <w:t>2019 – 2024</w:t>
      </w:r>
    </w:p>
    <w:p>
      <w:pPr>
        <w:pStyle w:val="EntryMeta"/>
      </w:pPr>
      <w:r>
        <w:t>Urbanline Infra Projects</w:t>
      </w:r>
    </w:p>
    <w:p>
      <w:pPr>
        <w:pStyle w:val="ResumeBullet"/>
      </w:pPr>
      <w:r>
        <w:t>Precast segmental viaduct with launching girders; 900 spans.</w:t>
      </w:r>
    </w:p>
    <w:p>
      <w:pPr>
        <w:pStyle w:val="EntryTitle"/>
        <w:tabs>
          <w:tab w:pos="9524" w:val="right"/>
        </w:tabs>
      </w:pPr>
      <w:r>
        <w:t>Market Square underground station</w:t>
      </w:r>
      <w:r>
        <w:tab/>
      </w:r>
      <w:r>
        <w:rPr>
          <w:b w:val="0"/>
          <w:i w:val="0"/>
          <w:color w:val="555555"/>
        </w:rPr>
        <w:t>2015 – 2018</w:t>
      </w:r>
    </w:p>
    <w:p>
      <w:pPr>
        <w:pStyle w:val="EntryMeta"/>
      </w:pPr>
      <w:r>
        <w:t>Riverside Tunnelling Company</w:t>
      </w:r>
    </w:p>
    <w:p>
      <w:pPr>
        <w:pStyle w:val="ResumeBullet"/>
      </w:pPr>
      <w:r>
        <w:t>Top-down construction with live traffic diversion.</w:t>
      </w:r>
    </w:p>
    <w:p>
      <w:pPr>
        <w:pStyle w:val="SectionHeading"/>
        <w:tabs>
          <w:tab w:pos="9524" w:val="right" w:leader="heavy"/>
        </w:tabs>
      </w:pPr>
      <w:r>
        <w:t xml:space="preserve">Publications  </w:t>
      </w:r>
      <w:r>
        <w:rPr>
          <w:color w:val="74B4A2"/>
        </w:rPr>
        <w:tab/>
      </w:r>
    </w:p>
    <w:p>
      <w:pPr>
        <w:pStyle w:val="Citation"/>
      </w:pPr>
      <w:r/>
      <w:r>
        <w:rPr>
          <w:b/>
          <w:bCs/>
        </w:rPr>
        <w:t>Ahmed, F.</w:t>
      </w:r>
      <w:r>
        <w:t>, Rao, S., &amp; Fischer, A.</w:t>
      </w:r>
      <w:r>
        <w:t xml:space="preserve"> (2026). Revisiting digital twins for flyovers. </w:t>
      </w:r>
      <w:r>
        <w:rPr>
          <w:i/>
        </w:rPr>
        <w:t>International Conference on Sustainable Infrastructure</w:t>
      </w:r>
      <w:r>
        <w:t>, pp. 286–298.</w:t>
      </w:r>
    </w:p>
    <w:p>
      <w:pPr>
        <w:pStyle w:val="Citation"/>
      </w:pPr>
      <w:r/>
      <w:r>
        <w:rPr>
          <w:b/>
          <w:bCs/>
        </w:rPr>
        <w:t>Ahmed, F.</w:t>
      </w:r>
      <w:r>
        <w:t>, &amp; Rao, S.</w:t>
      </w:r>
      <w:r>
        <w:t xml:space="preserve"> (2026). Designing for digital twins for flyovers. </w:t>
      </w:r>
      <w:r>
        <w:rPr>
          <w:i/>
        </w:rPr>
        <w:t>Concrete Research Reports</w:t>
      </w:r>
      <w:r>
        <w:t>, 42(3), 142–163.</w:t>
      </w:r>
    </w:p>
    <w:p>
      <w:pPr>
        <w:pStyle w:val="SectionHeading"/>
        <w:tabs>
          <w:tab w:pos="9524" w:val="right" w:leader="heavy"/>
        </w:tabs>
      </w:pPr>
      <w:r>
        <w:t xml:space="preserve">Education  </w:t>
      </w:r>
      <w:r>
        <w:rPr>
          <w:color w:val="74B4A2"/>
        </w:rPr>
        <w:tab/>
      </w:r>
    </w:p>
    <w:p>
      <w:pPr>
        <w:pStyle w:val="EntryTitle"/>
        <w:tabs>
          <w:tab w:pos="9524" w:val="right"/>
        </w:tabs>
      </w:pPr>
      <w:r>
        <w:t>M.Tech., Transportation Engineering</w:t>
      </w:r>
      <w:r>
        <w:tab/>
      </w:r>
      <w:r>
        <w:rPr>
          <w:b w:val="0"/>
          <w:i w:val="0"/>
          <w:color w:val="555555"/>
        </w:rPr>
        <w:t>2008 – 2010</w:t>
      </w:r>
    </w:p>
    <w:p>
      <w:pPr>
        <w:pStyle w:val="EntryMeta"/>
      </w:pPr>
      <w:r>
        <w:t>Eastern Institute of Engineering Science</w:t>
      </w:r>
    </w:p>
    <w:p>
      <w:pPr>
        <w:pStyle w:val="EntryTitle"/>
        <w:tabs>
          <w:tab w:pos="9524" w:val="right"/>
        </w:tabs>
      </w:pPr>
      <w:r>
        <w:t>B.E., Civil Engineering</w:t>
      </w:r>
      <w:r>
        <w:tab/>
      </w:r>
      <w:r>
        <w:rPr>
          <w:b w:val="0"/>
          <w:i w:val="0"/>
          <w:color w:val="555555"/>
        </w:rPr>
        <w:t>2004 – 2008</w:t>
      </w:r>
    </w:p>
    <w:p>
      <w:pPr>
        <w:pStyle w:val="EntryMeta"/>
      </w:pPr>
      <w:r>
        <w:t>Bengal Engineering College of the Plains</w:t>
      </w:r>
    </w:p>
    <w:p>
      <w:pPr>
        <w:pStyle w:val="BodyText"/>
      </w:pPr>
      <w:r>
        <w:t>First Class Honours</w:t>
      </w:r>
    </w:p>
    <w:p>
      <w:pPr>
        <w:pStyle w:val="SectionHeading"/>
        <w:tabs>
          <w:tab w:pos="9524" w:val="right" w:leader="heavy"/>
        </w:tabs>
      </w:pPr>
      <w:r>
        <w:t xml:space="preserve">Certifications  </w:t>
      </w:r>
      <w:r>
        <w:rPr>
          <w:color w:val="74B4A2"/>
        </w:rPr>
        <w:tab/>
      </w:r>
    </w:p>
    <w:p>
      <w:pPr>
        <w:pStyle w:val="ResumeBullet"/>
      </w:pPr>
      <w:r>
        <w:t>Project Management Professional (PMP)</w:t>
      </w:r>
    </w:p>
    <w:p>
      <w:pPr>
        <w:pStyle w:val="ResumeBullet"/>
      </w:pPr>
      <w:r>
        <w:t>Chartered Engineer, national institution of engineers</w:t>
      </w:r>
    </w:p>
    <w:p>
      <w:pPr>
        <w:pStyle w:val="ResumeBullet"/>
      </w:pPr>
      <w:r>
        <w:t>Construction safety management (NEBOSH-equivalent certificate)</w:t>
      </w:r>
    </w:p>
    <w:p>
      <w:pPr>
        <w:pStyle w:val="SectionHeading"/>
        <w:tabs>
          <w:tab w:pos="9524" w:val="right" w:leader="heavy"/>
        </w:tabs>
      </w:pPr>
      <w:r>
        <w:t xml:space="preserve">Awards &amp; Honours  </w:t>
      </w:r>
      <w:r>
        <w:rPr>
          <w:color w:val="74B4A2"/>
        </w:rPr>
        <w:tab/>
      </w:r>
    </w:p>
    <w:p>
      <w:pPr>
        <w:pStyle w:val="ResumeBullet"/>
      </w:pPr>
      <w:r>
        <w:t>Safety Excellence Award, metro rail corporation (2023)</w:t>
      </w:r>
    </w:p>
    <w:p>
      <w:pPr>
        <w:pStyle w:val="ResumeBullet"/>
      </w:pPr>
      <w:r>
        <w:t>Best Project Manager, company annual awards (2022)</w:t>
      </w:r>
    </w:p>
    <w:p>
      <w:pPr>
        <w:pStyle w:val="SectionHeading"/>
        <w:tabs>
          <w:tab w:pos="9524" w:val="right" w:leader="heavy"/>
        </w:tabs>
      </w:pPr>
      <w:r>
        <w:t xml:space="preserve">Talks &amp; Presentations  </w:t>
      </w:r>
      <w:r>
        <w:rPr>
          <w:color w:val="74B4A2"/>
        </w:rPr>
        <w:tab/>
      </w:r>
    </w:p>
    <w:p>
      <w:pPr>
        <w:pStyle w:val="ResumeBullet"/>
      </w:pPr>
      <w:r>
        <w:t>Poster: “New approaches to seismic retrofitting of masonry schools”, Bridge Engineering Review, Bengaluru, 2026.</w:t>
      </w:r>
    </w:p>
    <w:p>
      <w:pPr>
        <w:pStyle w:val="ResumeBullet"/>
      </w:pPr>
      <w:r>
        <w:t>Contributed talk: “Measuring bridge health monitoring with sensors”, Bridge Engineering Review, London, 2026.</w:t>
      </w:r>
    </w:p>
    <w:p>
      <w:pPr>
        <w:pStyle w:val="ResumeBullet"/>
      </w:pPr>
      <w:r>
        <w:t>Invited talk: “New approaches to seismic retrofitting of masonry schools”, Symposium on Structural Engineering Practice, New Delhi, 2025.</w:t>
      </w:r>
    </w:p>
    <w:p>
      <w:pPr>
        <w:pStyle w:val="SectionHeading"/>
        <w:tabs>
          <w:tab w:pos="9524" w:val="right" w:leader="heavy"/>
        </w:tabs>
      </w:pPr>
      <w:r>
        <w:t xml:space="preserve">Teaching &amp; Training  </w:t>
      </w:r>
      <w:r>
        <w:rPr>
          <w:color w:val="74B4A2"/>
        </w:rPr>
        <w:tab/>
      </w:r>
    </w:p>
    <w:p>
      <w:pPr>
        <w:pStyle w:val="ResumeBullet"/>
      </w:pPr>
      <w:r>
        <w:t>Guest lectures on metro construction for M.Tech. students</w:t>
      </w:r>
    </w:p>
    <w:p>
      <w:pPr>
        <w:pStyle w:val="SectionHeading"/>
        <w:tabs>
          <w:tab w:pos="9524" w:val="right" w:leader="heavy"/>
        </w:tabs>
      </w:pPr>
      <w:r>
        <w:t xml:space="preserve">Committees &amp; Community  </w:t>
      </w:r>
      <w:r>
        <w:rPr>
          <w:color w:val="74B4A2"/>
        </w:rPr>
        <w:tab/>
      </w:r>
    </w:p>
    <w:p>
      <w:pPr>
        <w:pStyle w:val="ResumeBullet"/>
      </w:pPr>
      <w:r>
        <w:t>Member, technical committee on precast construction (industry body)</w:t>
      </w:r>
    </w:p>
    <w:p>
      <w:pPr>
        <w:pStyle w:val="SectionHeading"/>
        <w:tabs>
          <w:tab w:pos="9524" w:val="right" w:leader="heavy"/>
        </w:tabs>
      </w:pPr>
      <w:r>
        <w:t xml:space="preserve">Skills  </w:t>
      </w:r>
      <w:r>
        <w:rPr>
          <w:color w:val="74B4A2"/>
        </w:rPr>
        <w:tab/>
      </w:r>
    </w:p>
    <w:p>
      <w:pPr>
        <w:pStyle w:val="BodyText"/>
      </w:pPr>
      <w:r>
        <w:rPr>
          <w:b/>
          <w:bCs/>
        </w:rPr>
        <w:t xml:space="preserve">Engineering: </w:t>
      </w:r>
      <w:r>
        <w:t>Viaducts, underground stations, precast segmental construction, contract management</w:t>
      </w:r>
    </w:p>
    <w:p>
      <w:pPr>
        <w:pStyle w:val="BodyText"/>
      </w:pPr>
      <w:r>
        <w:rPr>
          <w:b/>
          <w:bCs/>
        </w:rPr>
        <w:t xml:space="preserve">Tools: </w:t>
      </w:r>
      <w:r>
        <w:t>Primavera P6, MS Project, Revit, Navisworks, STAAD.Pro</w:t>
      </w:r>
    </w:p>
    <w:p>
      <w:pPr>
        <w:pStyle w:val="BodyText"/>
      </w:pPr>
      <w:r>
        <w:rPr>
          <w:b/>
          <w:bCs/>
        </w:rPr>
        <w:t xml:space="preserve">Languages: </w:t>
      </w:r>
      <w:r>
        <w:t>Bengali, Urdu, Hindi, English</w:t>
      </w:r>
    </w:p>
    <w:p>
      <w:pPr>
        <w:pStyle w:val="SectionHeading"/>
        <w:tabs>
          <w:tab w:pos="9524" w:val="right" w:leader="heavy"/>
        </w:tabs>
      </w:pPr>
      <w:r>
        <w:t xml:space="preserve">References  </w:t>
      </w:r>
      <w:r>
        <w:rPr>
          <w:color w:val="74B4A2"/>
        </w:rPr>
        <w:tab/>
      </w:r>
    </w:p>
    <w:p>
      <w:pPr>
        <w:pStyle w:val="BodyText"/>
      </w:pPr>
      <w:r>
        <w:t>Available on request.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1191" w:bottom="1020" w:left="1191" w:header="510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DM Sans" w:hAnsi="DM Sans" w:eastAsia="DM Sans" w:cs="DM Sans"/>
        <w:color w:val="888888"/>
        <w:sz w:val="16"/>
        <w:szCs w:val="16"/>
      </w:rPr>
      <w:t xml:space="preserve">Page </w:t>
    </w:r>
    <w:r>
      <w:rPr>
        <w:rFonts w:ascii="DM Sans" w:hAnsi="DM Sans" w:eastAsia="DM Sans" w:cs="DM Sans"/>
        <w:color w:val="888888"/>
        <w:sz w:val="16"/>
        <w:szCs w:val="16"/>
      </w:rPr>
      <w:fldChar w:fldCharType="begin"/>
    </w:r>
    <w:r>
      <w:rPr>
        <w:rFonts w:ascii="DM Sans" w:hAnsi="DM Sans" w:eastAsia="DM Sans" w:cs="DM Sans"/>
        <w:color w:val="888888"/>
        <w:sz w:val="16"/>
        <w:szCs w:val="16"/>
      </w:rPr>
      <w:instrText xml:space="preserve"> PAGE </w:instrText>
    </w:r>
    <w:r>
      <w:rPr>
        <w:rFonts w:ascii="DM Sans" w:hAnsi="DM Sans" w:eastAsia="DM Sans" w:cs="DM Sans"/>
        <w:color w:val="888888"/>
        <w:sz w:val="16"/>
        <w:szCs w:val="16"/>
      </w:rPr>
      <w:fldChar w:fldCharType="separate"/>
    </w:r>
    <w:r>
      <w:rPr>
        <w:rFonts w:ascii="DM Sans" w:hAnsi="DM Sans" w:eastAsia="DM Sans" w:cs="DM Sans"/>
        <w:color w:val="888888"/>
        <w:sz w:val="16"/>
        <w:szCs w:val="16"/>
      </w:rPr>
      <w:t>1</w:t>
    </w:r>
    <w:r>
      <w:rPr>
        <w:rFonts w:ascii="DM Sans" w:hAnsi="DM Sans" w:eastAsia="DM Sans" w:cs="DM Sans"/>
        <w:color w:val="888888"/>
        <w:sz w:val="16"/>
        <w:szCs w:val="16"/>
      </w:rPr>
      <w:fldChar w:fldCharType="end"/>
    </w:r>
    <w:r>
      <w:rPr>
        <w:rFonts w:ascii="DM Sans" w:hAnsi="DM Sans" w:eastAsia="DM Sans" w:cs="DM Sans"/>
        <w:color w:val="888888"/>
        <w:sz w:val="16"/>
        <w:szCs w:val="16"/>
      </w:rPr>
      <w:t xml:space="preserve"> of </w:t>
    </w:r>
    <w:r>
      <w:rPr>
        <w:rFonts w:ascii="DM Sans" w:hAnsi="DM Sans" w:eastAsia="DM Sans" w:cs="DM Sans"/>
        <w:color w:val="888888"/>
        <w:sz w:val="16"/>
        <w:szCs w:val="16"/>
      </w:rPr>
      <w:fldChar w:fldCharType="begin"/>
    </w:r>
    <w:r>
      <w:rPr>
        <w:rFonts w:ascii="DM Sans" w:hAnsi="DM Sans" w:eastAsia="DM Sans" w:cs="DM Sans"/>
        <w:color w:val="888888"/>
        <w:sz w:val="16"/>
        <w:szCs w:val="16"/>
      </w:rPr>
      <w:instrText xml:space="preserve"> NUMPAGES </w:instrText>
    </w:r>
    <w:r>
      <w:rPr>
        <w:rFonts w:ascii="DM Sans" w:hAnsi="DM Sans" w:eastAsia="DM Sans" w:cs="DM Sans"/>
        <w:color w:val="888888"/>
        <w:sz w:val="16"/>
        <w:szCs w:val="16"/>
      </w:rPr>
      <w:fldChar w:fldCharType="separate"/>
    </w:r>
    <w:r>
      <w:rPr>
        <w:rFonts w:ascii="DM Sans" w:hAnsi="DM Sans" w:eastAsia="DM Sans" w:cs="DM Sans"/>
        <w:color w:val="888888"/>
        <w:sz w:val="16"/>
        <w:szCs w:val="16"/>
      </w:rPr>
      <w:t>1</w:t>
    </w:r>
    <w:r>
      <w:rPr>
        <w:rFonts w:ascii="DM Sans" w:hAnsi="DM Sans" w:eastAsia="DM Sans" w:cs="DM Sans"/>
        <w:color w:val="888888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DM Sans" w:hAnsi="DM Sans" w:eastAsia="DM Sans" w:cs="DM Sans"/>
        <w:color w:val="888888"/>
        <w:sz w:val="16"/>
        <w:szCs w:val="16"/>
      </w:rPr>
      <w:t xml:space="preserve">Page </w:t>
    </w:r>
    <w:r>
      <w:rPr>
        <w:rFonts w:ascii="DM Sans" w:hAnsi="DM Sans" w:eastAsia="DM Sans" w:cs="DM Sans"/>
        <w:color w:val="888888"/>
        <w:sz w:val="16"/>
        <w:szCs w:val="16"/>
      </w:rPr>
      <w:fldChar w:fldCharType="begin"/>
    </w:r>
    <w:r>
      <w:rPr>
        <w:rFonts w:ascii="DM Sans" w:hAnsi="DM Sans" w:eastAsia="DM Sans" w:cs="DM Sans"/>
        <w:color w:val="888888"/>
        <w:sz w:val="16"/>
        <w:szCs w:val="16"/>
      </w:rPr>
      <w:instrText xml:space="preserve"> PAGE </w:instrText>
    </w:r>
    <w:r>
      <w:rPr>
        <w:rFonts w:ascii="DM Sans" w:hAnsi="DM Sans" w:eastAsia="DM Sans" w:cs="DM Sans"/>
        <w:color w:val="888888"/>
        <w:sz w:val="16"/>
        <w:szCs w:val="16"/>
      </w:rPr>
      <w:fldChar w:fldCharType="separate"/>
    </w:r>
    <w:r>
      <w:rPr>
        <w:rFonts w:ascii="DM Sans" w:hAnsi="DM Sans" w:eastAsia="DM Sans" w:cs="DM Sans"/>
        <w:color w:val="888888"/>
        <w:sz w:val="16"/>
        <w:szCs w:val="16"/>
      </w:rPr>
      <w:t>1</w:t>
    </w:r>
    <w:r>
      <w:rPr>
        <w:rFonts w:ascii="DM Sans" w:hAnsi="DM Sans" w:eastAsia="DM Sans" w:cs="DM Sans"/>
        <w:color w:val="888888"/>
        <w:sz w:val="16"/>
        <w:szCs w:val="16"/>
      </w:rPr>
      <w:fldChar w:fldCharType="end"/>
    </w:r>
    <w:r>
      <w:rPr>
        <w:rFonts w:ascii="DM Sans" w:hAnsi="DM Sans" w:eastAsia="DM Sans" w:cs="DM Sans"/>
        <w:color w:val="888888"/>
        <w:sz w:val="16"/>
        <w:szCs w:val="16"/>
      </w:rPr>
      <w:t xml:space="preserve"> of </w:t>
    </w:r>
    <w:r>
      <w:rPr>
        <w:rFonts w:ascii="DM Sans" w:hAnsi="DM Sans" w:eastAsia="DM Sans" w:cs="DM Sans"/>
        <w:color w:val="888888"/>
        <w:sz w:val="16"/>
        <w:szCs w:val="16"/>
      </w:rPr>
      <w:fldChar w:fldCharType="begin"/>
    </w:r>
    <w:r>
      <w:rPr>
        <w:rFonts w:ascii="DM Sans" w:hAnsi="DM Sans" w:eastAsia="DM Sans" w:cs="DM Sans"/>
        <w:color w:val="888888"/>
        <w:sz w:val="16"/>
        <w:szCs w:val="16"/>
      </w:rPr>
      <w:instrText xml:space="preserve"> NUMPAGES </w:instrText>
    </w:r>
    <w:r>
      <w:rPr>
        <w:rFonts w:ascii="DM Sans" w:hAnsi="DM Sans" w:eastAsia="DM Sans" w:cs="DM Sans"/>
        <w:color w:val="888888"/>
        <w:sz w:val="16"/>
        <w:szCs w:val="16"/>
      </w:rPr>
      <w:fldChar w:fldCharType="separate"/>
    </w:r>
    <w:r>
      <w:rPr>
        <w:rFonts w:ascii="DM Sans" w:hAnsi="DM Sans" w:eastAsia="DM Sans" w:cs="DM Sans"/>
        <w:color w:val="888888"/>
        <w:sz w:val="16"/>
        <w:szCs w:val="16"/>
      </w:rPr>
      <w:t>1</w:t>
    </w:r>
    <w:r>
      <w:rPr>
        <w:rFonts w:ascii="DM Sans" w:hAnsi="DM Sans" w:eastAsia="DM Sans" w:cs="DM Sans"/>
        <w:color w:val="888888"/>
        <w:sz w:val="16"/>
        <w:szCs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ontact"/>
      <w:pBdr>
        <w:bottom w:val="single" w:sz="4" w:space="3" w:color="BBBBBB"/>
      </w:pBdr>
      <w:tabs>
        <w:tab w:pos="9524" w:val="right"/>
      </w:tabs>
      <w:jc w:val="left"/>
    </w:pPr>
    <w:r>
      <w:rPr>
        <w:color w:val="777777"/>
        <w:sz w:val="17"/>
        <w:szCs w:val="17"/>
      </w:rPr>
      <w:t>Er. Faisal Ahmed — Curriculum Vitae</w:t>
    </w:r>
    <w:r>
      <w:tab/>
    </w:r>
    <w:r>
      <w:rPr>
        <w:color w:val="777777"/>
        <w:sz w:val="17"/>
        <w:szCs w:val="17"/>
      </w:rPr>
      <w:t xml:space="preserve">Page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 xml:space="preserve"> PAGE </w:instrText>
    </w:r>
    <w:r>
      <w:rPr>
        <w:color w:val="777777"/>
        <w:sz w:val="17"/>
        <w:szCs w:val="17"/>
      </w:rPr>
      <w:fldChar w:fldCharType="separate"/>
    </w:r>
    <w:r>
      <w:rPr>
        <w:color w:val="777777"/>
        <w:sz w:val="17"/>
        <w:szCs w:val="17"/>
      </w:rPr>
      <w:t>1</w:t>
    </w:r>
    <w:r>
      <w:rPr>
        <w:color w:val="777777"/>
        <w:sz w:val="17"/>
        <w:szCs w:val="17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283" w:hanging="227"/>
      </w:pPr>
      <w:rPr>
        <w:rFonts w:ascii="Arial" w:hAnsi="Arial" w:cs="Arial" w:hint="default"/>
        <w:color w:val="047857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DM Sans" w:hAnsi="DM Sans" w:eastAsia="DM Sans" w:cs="Mukta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DM Sans" w:hAnsi="DM Sans" w:eastAsia="DM Sans" w:cs="Mukta"/>
      <w:color w:val="1E1E1E"/>
      <w:sz w:val="19"/>
      <w:szCs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40" w:before="0" w:line="276" w:lineRule="auto"/>
    </w:pPr>
    <w:rPr>
      <w:rFonts w:ascii="DM Sans" w:hAnsi="DM Sans" w:eastAsia="DM Sans" w:cs="Mukta"/>
      <w:b w:val="0"/>
      <w:i w:val="0"/>
      <w:caps w:val="0"/>
      <w:smallCaps w:val="0"/>
      <w:color w:val="1E1E1E"/>
      <w:sz w:val="19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  <w:jc w:val="left"/>
    </w:pPr>
    <w:rPr>
      <w:rFonts w:ascii="DM Serif Display" w:hAnsi="DM Serif Display" w:eastAsia="DM Serif Display" w:cs="Mukta"/>
      <w:b/>
      <w:bCs/>
      <w:i w:val="0"/>
      <w:caps w:val="0"/>
      <w:smallCaps w:val="0"/>
      <w:color w:val="1E1E1E"/>
      <w:sz w:val="52"/>
      <w:szCs w:val="52"/>
    </w:rPr>
  </w:style>
  <w:style w:type="paragraph" w:customStyle="1" w:styleId="Role">
    <w:name w:val="Role"/>
    <w:basedOn w:val="Normal"/>
    <w:qFormat/>
    <w:pPr>
      <w:keepNext w:val="0"/>
      <w:widowControl/>
      <w:spacing w:before="0" w:after="40"/>
      <w:jc w:val="left"/>
    </w:pPr>
    <w:rPr>
      <w:rFonts w:ascii="DM Sans" w:hAnsi="DM Sans" w:eastAsia="DM Sans" w:cs="Mukta"/>
      <w:b w:val="0"/>
      <w:i w:val="0"/>
      <w:caps w:val="0"/>
      <w:smallCaps w:val="0"/>
      <w:color w:val="1E1E1E"/>
      <w:sz w:val="21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DM Sans" w:hAnsi="DM Sans" w:eastAsia="DM Sans" w:cs="Mukta"/>
      <w:b w:val="0"/>
      <w:i w:val="0"/>
      <w:caps w:val="0"/>
      <w:smallCaps w:val="0"/>
      <w:color w:val="555555"/>
      <w:sz w:val="17"/>
      <w:szCs w:val="18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</w:pPr>
    <w:rPr>
      <w:rFonts w:ascii="DM Serif Display" w:hAnsi="DM Serif Display" w:eastAsia="DM Serif Display" w:cs="Mukta"/>
      <w:b/>
      <w:bCs/>
      <w:i w:val="0"/>
      <w:caps/>
      <w:smallCaps w:val="0"/>
      <w:color w:val="047857"/>
      <w:spacing w:val="28"/>
      <w:sz w:val="22"/>
      <w:szCs w:val="23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8" w:lineRule="auto"/>
    </w:pPr>
    <w:rPr>
      <w:rFonts w:ascii="DM Sans" w:hAnsi="DM Sans" w:eastAsia="DM Sans" w:cs="Mukta"/>
      <w:b w:val="0"/>
      <w:i w:val="0"/>
      <w:caps w:val="0"/>
      <w:smallCaps w:val="0"/>
      <w:color w:val="1E1E1E"/>
      <w:sz w:val="19"/>
      <w:szCs w:val="20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0"/>
    </w:pPr>
    <w:rPr>
      <w:rFonts w:ascii="DM Sans" w:hAnsi="DM Sans" w:eastAsia="DM Sans" w:cs="Mukta"/>
      <w:b/>
      <w:bCs/>
      <w:i w:val="0"/>
      <w:caps w:val="0"/>
      <w:smallCaps w:val="0"/>
      <w:color w:val="1E1E1E"/>
      <w:sz w:val="19"/>
      <w:szCs w:val="20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DM Sans" w:hAnsi="DM Sans" w:eastAsia="DM Sans" w:cs="Mukta"/>
      <w:b w:val="0"/>
      <w:i/>
      <w:caps w:val="0"/>
      <w:smallCaps w:val="0"/>
      <w:color w:val="444444"/>
      <w:sz w:val="19"/>
      <w:szCs w:val="20"/>
    </w:rPr>
  </w:style>
  <w:style w:type="paragraph" w:customStyle="1" w:styleId="Citation">
    <w:name w:val="Citation"/>
    <w:basedOn w:val="Normal"/>
    <w:qFormat/>
    <w:pPr>
      <w:keepNext w:val="0"/>
      <w:widowControl/>
      <w:spacing w:before="0" w:after="60" w:line="276" w:lineRule="auto"/>
      <w:ind w:left="454" w:hanging="454"/>
    </w:pPr>
    <w:rPr>
      <w:rFonts w:ascii="DM Sans" w:hAnsi="DM Sans" w:eastAsia="DM Sans" w:cs="Mukta"/>
      <w:b w:val="0"/>
      <w:i w:val="0"/>
      <w:caps w:val="0"/>
      <w:smallCaps w:val="0"/>
      <w:color w:val="1E1E1E"/>
      <w:sz w:val="18"/>
      <w:szCs w:val="19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76" w:lineRule="auto"/>
      <w:ind w:left="283" w:hanging="227"/>
    </w:pPr>
    <w:rPr>
      <w:rFonts w:ascii="DM Sans" w:hAnsi="DM Sans" w:eastAsia="DM Sans" w:cs="Mukta"/>
      <w:b w:val="0"/>
      <w:i w:val="0"/>
      <w:caps w:val="0"/>
      <w:smallCaps w:val="0"/>
      <w:color w:val="1E1E1E"/>
      <w:sz w:val="19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Two-tone Name · Ruled Leaders — Metro Rail Project Manager — CV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