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श्री अमित कुमार तिवारी  |  Mr. Amit Kumar Tiwari</w:t>
      </w:r>
    </w:p>
    <w:p>
      <w:pPr>
        <w:pStyle w:val="Role"/>
      </w:pPr>
      <w:r>
        <w:t>सहायक प्रबंधक (शाखा संचालन)  ·  Assistant Manager, Branch Operations</w:t>
      </w:r>
    </w:p>
    <w:p>
      <w:pPr>
        <w:pStyle w:val="Contact"/>
      </w:pPr>
      <w:r>
        <w:t>Patna, Bihar</w:t>
      </w:r>
      <w:r>
        <w:rPr>
          <w:color w:val="334155"/>
        </w:rPr>
        <w:t xml:space="preserve">   |   </w:t>
      </w:r>
      <w:r>
        <w:t>+91 94310 68251</w:t>
      </w:r>
      <w:r>
        <w:rPr>
          <w:color w:val="334155"/>
        </w:rPr>
        <w:t xml:space="preserve">   |   </w:t>
      </w:r>
      <w:r>
        <w:t>amit.k.tiwari@email.com</w:t>
      </w:r>
    </w:p>
    <w:p>
      <w:pPr>
        <w:pStyle w:val="SectionHeading"/>
      </w:pPr>
      <w:r>
        <w:t>01   परिचय  /  Profile</w:t>
      </w:r>
    </w:p>
    <w:p>
      <w:pPr>
        <w:pStyle w:val="Summary"/>
      </w:pPr>
      <w:r>
        <w:t>सार्वजनिक क्षेत्र के बैंक में 8 वर्षों का अनुभव: ऋण, शाखा संचालन, वित्तीय समावेशन और राजभाषा कार्यान्वयन। Eight years in a public-sector bank across lending, branch operations, financial inclusion and official-language work.</w:t>
      </w:r>
    </w:p>
    <w:p>
      <w:pPr>
        <w:pStyle w:val="SectionHeading"/>
      </w:pPr>
      <w:r>
        <w:t>02   व्यक्तिगत विवरण  /  Personal Details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जन्म तिथि / Date of birth</w:t>
      </w:r>
      <w:r>
        <w:tab/>
      </w:r>
      <w:r>
        <w:t>:  04 सितंबर 1991  ·  4 September 1991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पिता का नाम / Father's name</w:t>
      </w:r>
      <w:r>
        <w:tab/>
      </w:r>
      <w:r>
        <w:t>:  श्री रामनाथ तिवारी  ·  Shri Ramnath Tiwari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श्रेणी / Category</w:t>
      </w:r>
      <w:r>
        <w:tab/>
      </w:r>
      <w:r>
        <w:t>:  सामान्य  ·  General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पता / Address</w:t>
      </w:r>
      <w:r>
        <w:tab/>
      </w:r>
      <w:r>
        <w:t>:  कंकड़बाग, पटना  ·  Kankarbagh, Patna – 800020</w:t>
      </w:r>
    </w:p>
    <w:p>
      <w:pPr>
        <w:pStyle w:val="SectionHeading"/>
      </w:pPr>
      <w:r>
        <w:t>03   शैक्षिक योग्यता  /  Education</w:t>
      </w:r>
    </w:p>
    <w:p>
      <w:pPr>
        <w:pStyle w:val="EntryTitle"/>
      </w:pPr>
      <w:r>
        <w:t>एमबीए (वित्त)  ·  MBA, Finance</w:t>
      </w:r>
      <w:r>
        <w:rPr>
          <w:b w:val="0"/>
          <w:i/>
          <w:color w:val="334155"/>
          <w:sz w:val="17"/>
          <w:szCs w:val="18"/>
        </w:rPr>
        <w:t xml:space="preserve">  ·  2014 – 2016</w:t>
      </w:r>
    </w:p>
    <w:p>
      <w:pPr>
        <w:pStyle w:val="EntryMeta"/>
      </w:pPr>
      <w:r>
        <w:t>पाटलिपुत्र प्रबंधन संस्थान  ·  Pataliputra Institute of Management</w:t>
      </w:r>
    </w:p>
    <w:p>
      <w:pPr>
        <w:pStyle w:val="BodyText"/>
      </w:pPr>
      <w:r>
        <w:t>प्रथम श्रेणी  ·  First Division</w:t>
      </w:r>
    </w:p>
    <w:p>
      <w:pPr>
        <w:pStyle w:val="EntryTitle"/>
      </w:pPr>
      <w:r>
        <w:t>बी.कॉम. (ऑनर्स)  ·  B.Com. (Hons.)</w:t>
      </w:r>
      <w:r>
        <w:rPr>
          <w:b w:val="0"/>
          <w:i/>
          <w:color w:val="334155"/>
          <w:sz w:val="17"/>
          <w:szCs w:val="18"/>
        </w:rPr>
        <w:t xml:space="preserve">  ·  2010 – 2013</w:t>
      </w:r>
    </w:p>
    <w:p>
      <w:pPr>
        <w:pStyle w:val="EntryMeta"/>
      </w:pPr>
      <w:r>
        <w:t>मगध घाटी विश्वविद्यालय  ·  Magadh Valley University</w:t>
      </w:r>
    </w:p>
    <w:p>
      <w:pPr>
        <w:pStyle w:val="BodyText"/>
      </w:pPr>
      <w:r>
        <w:t>72%</w:t>
      </w:r>
    </w:p>
    <w:p>
      <w:pPr>
        <w:pStyle w:val="EntryTitle"/>
      </w:pPr>
      <w:r>
        <w:t>जेएआईआईबी एवं सीएआईआईबी  ·  JAIIB &amp; CAIIB</w:t>
      </w:r>
      <w:r>
        <w:rPr>
          <w:b w:val="0"/>
          <w:i/>
          <w:color w:val="334155"/>
          <w:sz w:val="17"/>
          <w:szCs w:val="18"/>
        </w:rPr>
        <w:t xml:space="preserve">  ·  2018, 2020</w:t>
      </w:r>
    </w:p>
    <w:p>
      <w:pPr>
        <w:pStyle w:val="EntryMeta"/>
      </w:pPr>
      <w:r>
        <w:t>बैंकिंग संस्थान (राष्ट्रीय निकाय)  ·  Banking institute (national body)</w:t>
      </w:r>
    </w:p>
    <w:p>
      <w:pPr>
        <w:pStyle w:val="BodyText"/>
      </w:pPr>
      <w:r>
        <w:t>उत्तीर्ण  ·  Passed</w:t>
      </w:r>
    </w:p>
    <w:p>
      <w:pPr>
        <w:pStyle w:val="SectionHeading"/>
      </w:pPr>
      <w:r>
        <w:t>04   बैंकिंग अनुभव  /  Banking Experience</w:t>
      </w:r>
    </w:p>
    <w:p>
      <w:pPr>
        <w:pStyle w:val="EntryTitle"/>
      </w:pPr>
      <w:r>
        <w:t>सहायक प्रबंधक  ·  Assistant Manager</w:t>
      </w:r>
      <w:r>
        <w:rPr>
          <w:b w:val="0"/>
          <w:i/>
          <w:color w:val="334155"/>
          <w:sz w:val="17"/>
          <w:szCs w:val="18"/>
        </w:rPr>
        <w:t xml:space="preserve">  ·  2021 – वर्तमान / Present</w:t>
      </w:r>
    </w:p>
    <w:p>
      <w:pPr>
        <w:pStyle w:val="EntryMeta"/>
      </w:pPr>
      <w:r>
        <w:t>गंगा ग्रामीण बैंक, बोरिंग रोड शाखा, पटना  ·  Ganga Gramin Bank, Boring Road Branch, Patna</w:t>
      </w:r>
    </w:p>
    <w:p>
      <w:pPr>
        <w:pStyle w:val="ResumeBullet"/>
      </w:pPr>
      <w:r>
        <w:t>₹85 करोड़ के ऋण पोर्टफ़ोलियो का प्रबंधन; एनपीए 2.1% से घटाकर 1.3%।  Manage a ₹85-crore loan book; NPAs down from 2.1% to 1.3% (sample data).</w:t>
      </w:r>
    </w:p>
    <w:p>
      <w:pPr>
        <w:pStyle w:val="ResumeBullet"/>
      </w:pPr>
      <w:r>
        <w:t>मुद्रा एवं स्वयं सहायता समूह ऋण: 640 नए खाते।  640 new MUDRA and SHG loan accounts.</w:t>
      </w:r>
    </w:p>
    <w:p>
      <w:pPr>
        <w:pStyle w:val="EntryTitle"/>
      </w:pPr>
      <w:r>
        <w:t>परिवीक्षाधीन अधिकारी / अधिकारी  ·  Probationary Officer / Officer</w:t>
      </w:r>
      <w:r>
        <w:rPr>
          <w:b w:val="0"/>
          <w:i/>
          <w:color w:val="334155"/>
          <w:sz w:val="17"/>
          <w:szCs w:val="18"/>
        </w:rPr>
        <w:t xml:space="preserve">  ·  2017 – 2021</w:t>
      </w:r>
    </w:p>
    <w:p>
      <w:pPr>
        <w:pStyle w:val="EntryMeta"/>
      </w:pPr>
      <w:r>
        <w:t>गंगा ग्रामीण बैंक, गया एवं नालंदा  ·  Ganga Gramin Bank, Gaya and Nalanda</w:t>
      </w:r>
    </w:p>
    <w:p>
      <w:pPr>
        <w:pStyle w:val="ResumeBullet"/>
      </w:pPr>
      <w:r>
        <w:t>ग्रामीण शाखाओं में वित्तीय साक्षरता शिविर (45 शिविर)।  Ran 45 financial-literacy camps in rural branches.</w:t>
      </w:r>
    </w:p>
    <w:p>
      <w:pPr>
        <w:pStyle w:val="ResumeBullet"/>
      </w:pPr>
      <w:r>
        <w:t>शाखा की राजभाषा समिति के सचिव।  Secretary of the branch official-language committee.</w:t>
      </w:r>
    </w:p>
    <w:p>
      <w:pPr>
        <w:pStyle w:val="SectionHeading"/>
      </w:pPr>
      <w:r>
        <w:t>05   प्रशिक्षण  /  Trainings Attended</w:t>
      </w:r>
    </w:p>
    <w:p>
      <w:pPr>
        <w:pStyle w:val="ResumeBullet"/>
      </w:pPr>
      <w:r>
        <w:t>ऋण मूल्यांकन एवं जोखिम प्रबंधन, बैंक प्रशिक्षण केंद्र (2022)  ·  Credit appraisal and risk management</w:t>
      </w:r>
    </w:p>
    <w:p>
      <w:pPr>
        <w:pStyle w:val="ResumeBullet"/>
      </w:pPr>
      <w:r>
        <w:t>राजभाषा हिंदी कार्यशाला (2019)  ·  Official-language Hindi workshop</w:t>
      </w:r>
    </w:p>
    <w:p>
      <w:pPr>
        <w:pStyle w:val="ResumeBullet"/>
      </w:pPr>
      <w:r>
        <w:t>साइबर सुरक्षा जागरूकता (2023)  ·  Cyber-security awareness</w:t>
      </w:r>
    </w:p>
    <w:p>
      <w:pPr>
        <w:pStyle w:val="SectionHeading"/>
      </w:pPr>
      <w:r>
        <w:t>06   अनुदान एवं सम्मान  /  Grants, Awards &amp; Honours</w:t>
      </w:r>
    </w:p>
    <w:p>
      <w:pPr>
        <w:pStyle w:val="ResumeBullet"/>
      </w:pPr>
      <w:r>
        <w:t>क्षेत्रीय प्रबंधक प्रशंसा पत्र: वसूली अभियान (2023)  ·  Regional Manager's commendation for recovery drive</w:t>
      </w:r>
    </w:p>
    <w:p>
      <w:pPr>
        <w:pStyle w:val="ResumeBullet"/>
      </w:pPr>
      <w:r>
        <w:t>राजभाषा शील्ड, अंचल कार्यालय (2020)  ·  Official Language Shield, zonal office</w:t>
      </w:r>
    </w:p>
    <w:p>
      <w:pPr>
        <w:pStyle w:val="SectionHeading"/>
      </w:pPr>
      <w:r>
        <w:t>07   कौशल  /  Skills</w:t>
      </w:r>
    </w:p>
    <w:p>
      <w:pPr>
        <w:pStyle w:val="BodyText"/>
      </w:pPr>
      <w:r>
        <w:rPr>
          <w:b/>
          <w:bCs/>
        </w:rPr>
        <w:t xml:space="preserve">बैंकिंग / Banking: </w:t>
      </w:r>
      <w:r>
        <w:t>ऋण मूल्यांकन, केवाईसी, एनपीए वसूली, सरकारी योजनाएँ  ·  Credit appraisal, KYC, NPA recovery, government schemes</w:t>
      </w:r>
    </w:p>
    <w:p>
      <w:pPr>
        <w:pStyle w:val="BodyText"/>
      </w:pPr>
      <w:r>
        <w:rPr>
          <w:b/>
          <w:bCs/>
        </w:rPr>
        <w:t xml:space="preserve">डिजिटल / Digital: </w:t>
      </w:r>
      <w:r>
        <w:t>फिनेकल सीबीएस, एमएस एक्सेल, यूपीआई समाधान  ·  Finacle CBS, MS Excel, UPI solutions</w:t>
      </w:r>
    </w:p>
    <w:p>
      <w:pPr>
        <w:pStyle w:val="BodyText"/>
      </w:pPr>
      <w:r>
        <w:rPr>
          <w:b/>
          <w:bCs/>
        </w:rPr>
        <w:t xml:space="preserve">भाषाएँ / Languages: </w:t>
      </w:r>
      <w:r>
        <w:t>हिंदी, अंग्रेज़ी, भोजपुरी, मगही  ·  Hindi, English, Bhojpuri, Magahi</w:t>
      </w:r>
    </w:p>
    <w:p>
      <w:pPr>
        <w:pStyle w:val="SectionHeading"/>
      </w:pPr>
      <w:r>
        <w:t>08   घोषणा  /  Declaration</w:t>
      </w:r>
    </w:p>
    <w:p>
      <w:pPr>
        <w:pStyle w:val="BodyText"/>
      </w:pPr>
      <w:r>
        <w:t>I hereby declare that the information given above is true and correct to the best of my knowledge and belief.</w:t>
      </w:r>
    </w:p>
    <w:p>
      <w:pPr>
        <w:pStyle w:val="BodyText"/>
        <w:keepNext/>
        <w:tabs>
          <w:tab w:pos="9411" w:val="right"/>
        </w:tabs>
        <w:spacing w:before="360"/>
      </w:pPr>
      <w:r>
        <w:t>Place: Patna / पटना</w:t>
      </w:r>
      <w:r>
        <w:tab/>
      </w:r>
      <w:r>
        <w:t>(Signature)</w:t>
      </w:r>
    </w:p>
    <w:p>
      <w:pPr>
        <w:pStyle w:val="BodyText"/>
        <w:tabs>
          <w:tab w:pos="9411" w:val="right"/>
        </w:tabs>
      </w:pPr>
      <w:r>
        <w:t>Date: ____________</w:t>
      </w:r>
      <w:r>
        <w:tab/>
      </w:r>
      <w:r>
        <w:rPr>
          <w:b/>
          <w:bCs/>
        </w:rPr>
        <w:t>Amit Kumar Tiwari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247" w:right="1247" w:bottom="1134" w:left="1247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Inter" w:hAnsi="Inter" w:eastAsia="Inter" w:cs="Inter"/>
        <w:color w:val="888888"/>
        <w:sz w:val="16"/>
        <w:szCs w:val="16"/>
      </w:rPr>
      <w:t xml:space="preserve">Page </w:t>
    </w:r>
    <w:r>
      <w:rPr>
        <w:rFonts w:ascii="Inter" w:hAnsi="Inter" w:eastAsia="Inter" w:cs="Inter"/>
        <w:color w:val="888888"/>
        <w:sz w:val="16"/>
        <w:szCs w:val="16"/>
      </w:rPr>
      <w:fldChar w:fldCharType="begin"/>
    </w:r>
    <w:r>
      <w:rPr>
        <w:rFonts w:ascii="Inter" w:hAnsi="Inter" w:eastAsia="Inter" w:cs="Inter"/>
        <w:color w:val="888888"/>
        <w:sz w:val="16"/>
        <w:szCs w:val="16"/>
      </w:rPr>
      <w:instrText xml:space="preserve"> PAGE </w:instrText>
    </w:r>
    <w:r>
      <w:rPr>
        <w:rFonts w:ascii="Inter" w:hAnsi="Inter" w:eastAsia="Inter" w:cs="Inter"/>
        <w:color w:val="888888"/>
        <w:sz w:val="16"/>
        <w:szCs w:val="16"/>
      </w:rPr>
      <w:fldChar w:fldCharType="separate"/>
    </w:r>
    <w:r>
      <w:rPr>
        <w:rFonts w:ascii="Inter" w:hAnsi="Inter" w:eastAsia="Inter" w:cs="Inter"/>
        <w:color w:val="888888"/>
        <w:sz w:val="16"/>
        <w:szCs w:val="16"/>
      </w:rPr>
      <w:t>1</w:t>
    </w:r>
    <w:r>
      <w:rPr>
        <w:rFonts w:ascii="Inter" w:hAnsi="Inter" w:eastAsia="Inter" w:cs="Inter"/>
        <w:color w:val="888888"/>
        <w:sz w:val="16"/>
        <w:szCs w:val="16"/>
      </w:rPr>
      <w:fldChar w:fldCharType="end"/>
    </w:r>
    <w:r>
      <w:rPr>
        <w:rFonts w:ascii="Inter" w:hAnsi="Inter" w:eastAsia="Inter" w:cs="Inter"/>
        <w:color w:val="888888"/>
        <w:sz w:val="16"/>
        <w:szCs w:val="16"/>
      </w:rPr>
      <w:t xml:space="preserve"> of </w:t>
    </w:r>
    <w:r>
      <w:rPr>
        <w:rFonts w:ascii="Inter" w:hAnsi="Inter" w:eastAsia="Inter" w:cs="Inter"/>
        <w:color w:val="888888"/>
        <w:sz w:val="16"/>
        <w:szCs w:val="16"/>
      </w:rPr>
      <w:fldChar w:fldCharType="begin"/>
    </w:r>
    <w:r>
      <w:rPr>
        <w:rFonts w:ascii="Inter" w:hAnsi="Inter" w:eastAsia="Inter" w:cs="Inter"/>
        <w:color w:val="888888"/>
        <w:sz w:val="16"/>
        <w:szCs w:val="16"/>
      </w:rPr>
      <w:instrText xml:space="preserve"> NUMPAGES </w:instrText>
    </w:r>
    <w:r>
      <w:rPr>
        <w:rFonts w:ascii="Inter" w:hAnsi="Inter" w:eastAsia="Inter" w:cs="Inter"/>
        <w:color w:val="888888"/>
        <w:sz w:val="16"/>
        <w:szCs w:val="16"/>
      </w:rPr>
      <w:fldChar w:fldCharType="separate"/>
    </w:r>
    <w:r>
      <w:rPr>
        <w:rFonts w:ascii="Inter" w:hAnsi="Inter" w:eastAsia="Inter" w:cs="Inter"/>
        <w:color w:val="888888"/>
        <w:sz w:val="16"/>
        <w:szCs w:val="16"/>
      </w:rPr>
      <w:t>1</w:t>
    </w:r>
    <w:r>
      <w:rPr>
        <w:rFonts w:ascii="Inter" w:hAnsi="Inter" w:eastAsia="Inter" w:cs="Inter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Inter" w:hAnsi="Inter" w:eastAsia="Inter" w:cs="Inter"/>
        <w:color w:val="888888"/>
        <w:sz w:val="16"/>
        <w:szCs w:val="16"/>
      </w:rPr>
      <w:t xml:space="preserve">Page </w:t>
    </w:r>
    <w:r>
      <w:rPr>
        <w:rFonts w:ascii="Inter" w:hAnsi="Inter" w:eastAsia="Inter" w:cs="Inter"/>
        <w:color w:val="888888"/>
        <w:sz w:val="16"/>
        <w:szCs w:val="16"/>
      </w:rPr>
      <w:fldChar w:fldCharType="begin"/>
    </w:r>
    <w:r>
      <w:rPr>
        <w:rFonts w:ascii="Inter" w:hAnsi="Inter" w:eastAsia="Inter" w:cs="Inter"/>
        <w:color w:val="888888"/>
        <w:sz w:val="16"/>
        <w:szCs w:val="16"/>
      </w:rPr>
      <w:instrText xml:space="preserve"> PAGE </w:instrText>
    </w:r>
    <w:r>
      <w:rPr>
        <w:rFonts w:ascii="Inter" w:hAnsi="Inter" w:eastAsia="Inter" w:cs="Inter"/>
        <w:color w:val="888888"/>
        <w:sz w:val="16"/>
        <w:szCs w:val="16"/>
      </w:rPr>
      <w:fldChar w:fldCharType="separate"/>
    </w:r>
    <w:r>
      <w:rPr>
        <w:rFonts w:ascii="Inter" w:hAnsi="Inter" w:eastAsia="Inter" w:cs="Inter"/>
        <w:color w:val="888888"/>
        <w:sz w:val="16"/>
        <w:szCs w:val="16"/>
      </w:rPr>
      <w:t>1</w:t>
    </w:r>
    <w:r>
      <w:rPr>
        <w:rFonts w:ascii="Inter" w:hAnsi="Inter" w:eastAsia="Inter" w:cs="Inter"/>
        <w:color w:val="888888"/>
        <w:sz w:val="16"/>
        <w:szCs w:val="16"/>
      </w:rPr>
      <w:fldChar w:fldCharType="end"/>
    </w:r>
    <w:r>
      <w:rPr>
        <w:rFonts w:ascii="Inter" w:hAnsi="Inter" w:eastAsia="Inter" w:cs="Inter"/>
        <w:color w:val="888888"/>
        <w:sz w:val="16"/>
        <w:szCs w:val="16"/>
      </w:rPr>
      <w:t xml:space="preserve"> of </w:t>
    </w:r>
    <w:r>
      <w:rPr>
        <w:rFonts w:ascii="Inter" w:hAnsi="Inter" w:eastAsia="Inter" w:cs="Inter"/>
        <w:color w:val="888888"/>
        <w:sz w:val="16"/>
        <w:szCs w:val="16"/>
      </w:rPr>
      <w:fldChar w:fldCharType="begin"/>
    </w:r>
    <w:r>
      <w:rPr>
        <w:rFonts w:ascii="Inter" w:hAnsi="Inter" w:eastAsia="Inter" w:cs="Inter"/>
        <w:color w:val="888888"/>
        <w:sz w:val="16"/>
        <w:szCs w:val="16"/>
      </w:rPr>
      <w:instrText xml:space="preserve"> NUMPAGES </w:instrText>
    </w:r>
    <w:r>
      <w:rPr>
        <w:rFonts w:ascii="Inter" w:hAnsi="Inter" w:eastAsia="Inter" w:cs="Inter"/>
        <w:color w:val="888888"/>
        <w:sz w:val="16"/>
        <w:szCs w:val="16"/>
      </w:rPr>
      <w:fldChar w:fldCharType="separate"/>
    </w:r>
    <w:r>
      <w:rPr>
        <w:rFonts w:ascii="Inter" w:hAnsi="Inter" w:eastAsia="Inter" w:cs="Inter"/>
        <w:color w:val="888888"/>
        <w:sz w:val="16"/>
        <w:szCs w:val="16"/>
      </w:rPr>
      <w:t>1</w:t>
    </w:r>
    <w:r>
      <w:rPr>
        <w:rFonts w:ascii="Inter" w:hAnsi="Inter" w:eastAsia="Inter" w:cs="Inter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411" w:val="right"/>
      </w:tabs>
      <w:jc w:val="left"/>
    </w:pPr>
    <w:r>
      <w:rPr>
        <w:color w:val="777777"/>
        <w:sz w:val="17"/>
        <w:szCs w:val="17"/>
      </w:rPr>
      <w:t>Amit Kumar Tiwari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▪"/>
      <w:lvlJc w:val="left"/>
      <w:pPr>
        <w:ind w:left="283" w:hanging="227"/>
      </w:pPr>
      <w:rPr>
        <w:rFonts w:ascii="Arial" w:hAnsi="Arial" w:cs="Arial" w:hint="default"/>
        <w:color w:val="334155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Inter" w:hAnsi="Inter" w:eastAsia="Inter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Inter" w:hAnsi="Inter" w:eastAsia="Inter" w:cs="Mukta"/>
      <w:color w:val="1E1E1E"/>
      <w:sz w:val="18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Inter" w:hAnsi="Inter" w:eastAsia="Inter" w:cs="Mukta"/>
      <w:b w:val="0"/>
      <w:i w:val="0"/>
      <w:caps w:val="0"/>
      <w:smallCaps w:val="0"/>
      <w:color w:val="1E1E1E"/>
      <w:sz w:val="18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Poppins" w:hAnsi="Poppins" w:eastAsia="Poppins" w:cs="Mukta"/>
      <w:b/>
      <w:bCs/>
      <w:i w:val="0"/>
      <w:caps w:val="0"/>
      <w:smallCaps w:val="0"/>
      <w:color w:val="1E1E1E"/>
      <w:sz w:val="32"/>
      <w:szCs w:val="32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Inter" w:hAnsi="Inter" w:eastAsia="Inter" w:cs="Mukta"/>
      <w:b w:val="0"/>
      <w:i w:val="0"/>
      <w:caps w:val="0"/>
      <w:smallCaps w:val="0"/>
      <w:color w:val="1E1E1E"/>
      <w:sz w:val="20"/>
      <w:szCs w:val="21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Inter" w:hAnsi="Inter" w:eastAsia="Inter" w:cs="Mukta"/>
      <w:b w:val="0"/>
      <w:i w:val="0"/>
      <w:caps w:val="0"/>
      <w:smallCaps w:val="0"/>
      <w:color w:val="555555"/>
      <w:sz w:val="16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Poppins" w:hAnsi="Poppins" w:eastAsia="Poppins" w:cs="Mukta"/>
      <w:b/>
      <w:bCs/>
      <w:i w:val="0"/>
      <w:caps/>
      <w:smallCaps w:val="0"/>
      <w:color w:val="334155"/>
      <w:spacing w:val="8"/>
      <w:sz w:val="21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Inter" w:hAnsi="Inter" w:eastAsia="Inter" w:cs="Mukta"/>
      <w:b w:val="0"/>
      <w:i w:val="0"/>
      <w:caps w:val="0"/>
      <w:smallCaps w:val="0"/>
      <w:color w:val="1E1E1E"/>
      <w:sz w:val="18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Inter" w:hAnsi="Inter" w:eastAsia="Inter" w:cs="Mukta"/>
      <w:b/>
      <w:bCs/>
      <w:i w:val="0"/>
      <w:caps w:val="0"/>
      <w:smallCaps w:val="0"/>
      <w:color w:val="1E1E1E"/>
      <w:sz w:val="18"/>
      <w:szCs w:val="19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Inter" w:hAnsi="Inter" w:eastAsia="Inter" w:cs="Mukta"/>
      <w:b w:val="0"/>
      <w:i/>
      <w:caps w:val="0"/>
      <w:smallCaps w:val="0"/>
      <w:color w:val="444444"/>
      <w:sz w:val="18"/>
      <w:szCs w:val="19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Inter" w:hAnsi="Inter" w:eastAsia="Inter" w:cs="Mukta"/>
      <w:b w:val="0"/>
      <w:i w:val="0"/>
      <w:caps w:val="0"/>
      <w:smallCaps w:val="0"/>
      <w:color w:val="1E1E1E"/>
      <w:sz w:val="17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Inter" w:hAnsi="Inter" w:eastAsia="Inter" w:cs="Mukta"/>
      <w:b w:val="0"/>
      <w:i w:val="0"/>
      <w:caps w:val="0"/>
      <w:smallCaps w:val="0"/>
      <w:color w:val="1E1E1E"/>
      <w:sz w:val="18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Left Masthead · Numbered — Bank Officer (Bilingual)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