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Dr. Aniket Kulkarni</w:t>
      </w:r>
    </w:p>
    <w:p>
      <w:pPr>
        <w:pStyle w:val="Role"/>
      </w:pPr>
      <w:r>
        <w:t>Associate Professor of Mathematics</w:t>
      </w:r>
    </w:p>
    <w:p>
      <w:pPr>
        <w:pStyle w:val="Contact"/>
      </w:pPr>
      <w:r>
        <w:t>Pune, India</w:t>
      </w:r>
      <w:r>
        <w:rPr>
          <w:color w:val="5B21B6"/>
        </w:rPr>
        <w:t xml:space="preserve">   |   </w:t>
      </w:r>
      <w:r>
        <w:t>+91 98220 70415</w:t>
      </w:r>
      <w:r>
        <w:rPr>
          <w:color w:val="5B21B6"/>
        </w:rPr>
        <w:t xml:space="preserve">   |   </w:t>
      </w:r>
      <w:r>
        <w:t>aniket.kulkarni@university.edu</w:t>
      </w:r>
      <w:r>
        <w:rPr>
          <w:color w:val="5B21B6"/>
        </w:rPr>
        <w:t xml:space="preserve">   |   </w:t>
      </w:r>
      <w:r>
        <w:t>aniketk.math.page</w:t>
      </w:r>
    </w:p>
    <w:p>
      <w:pPr>
        <w:pStyle w:val="SectionHeading"/>
        <w:pBdr>
          <w:bottom w:val="single" w:sz="18" w:space="1" w:color="BDA6E1"/>
        </w:pBdr>
      </w:pPr>
      <w:r>
        <w:t>Profile</w:t>
      </w:r>
    </w:p>
    <w:p>
      <w:pPr>
        <w:pStyle w:val="Summary"/>
      </w:pPr>
      <w:r>
        <w:t>Mathematician working in extremal and probabilistic combinatorics, with applications to network algorithms. Known for clear teaching and for building an undergraduate research programme in a public university.</w:t>
      </w:r>
    </w:p>
    <w:p>
      <w:pPr>
        <w:pStyle w:val="BodyText"/>
        <w:spacing w:before="80"/>
      </w:pPr>
      <w:r>
        <w:rPr>
          <w:b/>
          <w:bCs/>
          <w:color w:val="5B21B6"/>
        </w:rPr>
        <w:t xml:space="preserve">Research interests: </w:t>
      </w:r>
      <w:r>
        <w:t>Extremal graph theory · probabilistic method · additive combinatorics · algorithms on networks</w:t>
      </w:r>
    </w:p>
    <w:p>
      <w:pPr>
        <w:pStyle w:val="SectionHeading"/>
        <w:pBdr>
          <w:bottom w:val="single" w:sz="18" w:space="1" w:color="BDA6E1"/>
        </w:pBdr>
      </w:pPr>
      <w:r>
        <w:t>Education</w:t>
      </w:r>
    </w:p>
    <w:p>
      <w:pPr>
        <w:pStyle w:val="EntryTitle"/>
      </w:pPr>
      <w:r>
        <w:t>Ph.D., Mathematics</w:t>
      </w:r>
      <w:r>
        <w:rPr>
          <w:b w:val="0"/>
          <w:i/>
          <w:color w:val="5B21B6"/>
          <w:sz w:val="18"/>
          <w:szCs w:val="19"/>
        </w:rPr>
        <w:t xml:space="preserve">  ·  2008 – 2013</w:t>
      </w:r>
    </w:p>
    <w:p>
      <w:pPr>
        <w:pStyle w:val="EntryMeta"/>
      </w:pPr>
      <w:r>
        <w:t>Institute of Mathematical Sciences, Deccan</w:t>
      </w:r>
    </w:p>
    <w:p>
      <w:pPr>
        <w:pStyle w:val="BodyText"/>
      </w:pPr>
      <w:r>
        <w:t>Thesis: Turán-type problems for hypergraphs</w:t>
      </w:r>
    </w:p>
    <w:p>
      <w:pPr>
        <w:pStyle w:val="EntryTitle"/>
      </w:pPr>
      <w:r>
        <w:t>M.Sc., Mathematics</w:t>
      </w:r>
      <w:r>
        <w:rPr>
          <w:b w:val="0"/>
          <w:i/>
          <w:color w:val="5B21B6"/>
          <w:sz w:val="18"/>
          <w:szCs w:val="19"/>
        </w:rPr>
        <w:t xml:space="preserve">  ·  2006 – 2008</w:t>
      </w:r>
    </w:p>
    <w:p>
      <w:pPr>
        <w:pStyle w:val="EntryMeta"/>
      </w:pPr>
      <w:r>
        <w:t>Sahyadri University</w:t>
      </w:r>
    </w:p>
    <w:p>
      <w:pPr>
        <w:pStyle w:val="BodyText"/>
      </w:pPr>
      <w:r>
        <w:t>University Gold Medal</w:t>
      </w:r>
    </w:p>
    <w:p>
      <w:pPr>
        <w:pStyle w:val="EntryTitle"/>
      </w:pPr>
      <w:r>
        <w:t>B.Sc., Mathematics</w:t>
      </w:r>
      <w:r>
        <w:rPr>
          <w:b w:val="0"/>
          <w:i/>
          <w:color w:val="5B21B6"/>
          <w:sz w:val="18"/>
          <w:szCs w:val="19"/>
        </w:rPr>
        <w:t xml:space="preserve">  ·  2003 – 2006</w:t>
      </w:r>
    </w:p>
    <w:p>
      <w:pPr>
        <w:pStyle w:val="EntryMeta"/>
      </w:pPr>
      <w:r>
        <w:t>Fergusson Hill College, Pune</w:t>
      </w:r>
    </w:p>
    <w:p>
      <w:pPr>
        <w:pStyle w:val="SectionHeading"/>
        <w:pBdr>
          <w:bottom w:val="single" w:sz="18" w:space="1" w:color="BDA6E1"/>
        </w:pBdr>
      </w:pPr>
      <w:r>
        <w:t>Research Experience</w:t>
      </w:r>
    </w:p>
    <w:p>
      <w:pPr>
        <w:pStyle w:val="EntryTitle"/>
      </w:pPr>
      <w:r>
        <w:t>Associate Professor</w:t>
      </w:r>
      <w:r>
        <w:rPr>
          <w:b w:val="0"/>
          <w:i/>
          <w:color w:val="5B21B6"/>
          <w:sz w:val="18"/>
          <w:szCs w:val="19"/>
        </w:rPr>
        <w:t xml:space="preserve">  ·  2019 – Present</w:t>
      </w:r>
    </w:p>
    <w:p>
      <w:pPr>
        <w:pStyle w:val="EntryMeta"/>
      </w:pPr>
      <w:r>
        <w:t>Department of Mathematics, Sahyadri University</w:t>
      </w:r>
    </w:p>
    <w:p>
      <w:pPr>
        <w:pStyle w:val="ResumeBullet"/>
      </w:pPr>
      <w:r>
        <w:t>Lead the combinatorics group: 3 Ph.D. students, 2 postdocs.</w:t>
      </w:r>
    </w:p>
    <w:p>
      <w:pPr>
        <w:pStyle w:val="ResumeBullet"/>
      </w:pPr>
      <w:r>
        <w:t>Founded a summer research programme that has placed 40 undergraduates in graduate schools.</w:t>
      </w:r>
    </w:p>
    <w:p>
      <w:pPr>
        <w:pStyle w:val="EntryTitle"/>
      </w:pPr>
      <w:r>
        <w:t>Assistant Professor</w:t>
      </w:r>
      <w:r>
        <w:rPr>
          <w:b w:val="0"/>
          <w:i/>
          <w:color w:val="5B21B6"/>
          <w:sz w:val="18"/>
          <w:szCs w:val="19"/>
        </w:rPr>
        <w:t xml:space="preserve">  ·  2015 – 2019</w:t>
      </w:r>
    </w:p>
    <w:p>
      <w:pPr>
        <w:pStyle w:val="EntryMeta"/>
      </w:pPr>
      <w:r>
        <w:t>Department of Mathematics, Sahyadri University</w:t>
      </w:r>
    </w:p>
    <w:p>
      <w:pPr>
        <w:pStyle w:val="ResumeBullet"/>
      </w:pPr>
      <w:r>
        <w:t>Taught core analysis and algebra courses to 400+ students a year.</w:t>
      </w:r>
    </w:p>
    <w:p>
      <w:pPr>
        <w:pStyle w:val="EntryTitle"/>
      </w:pPr>
      <w:r>
        <w:t>Postdoctoral Fellow</w:t>
      </w:r>
      <w:r>
        <w:rPr>
          <w:b w:val="0"/>
          <w:i/>
          <w:color w:val="5B21B6"/>
          <w:sz w:val="18"/>
          <w:szCs w:val="19"/>
        </w:rPr>
        <w:t xml:space="preserve">  ·  2013 – 2015</w:t>
      </w:r>
    </w:p>
    <w:p>
      <w:pPr>
        <w:pStyle w:val="EntryMeta"/>
      </w:pPr>
      <w:r>
        <w:t>Centre for Discrete Mathematics, Lakeshore University</w:t>
      </w:r>
    </w:p>
    <w:p>
      <w:pPr>
        <w:pStyle w:val="ResumeBullet"/>
      </w:pPr>
      <w:r>
        <w:t>Solved a 20-year-old conjecture on hypergraph cycles (with co-authors).</w:t>
      </w:r>
    </w:p>
    <w:p>
      <w:pPr>
        <w:pStyle w:val="SectionHeading"/>
        <w:pBdr>
          <w:bottom w:val="single" w:sz="18" w:space="1" w:color="BDA6E1"/>
        </w:pBdr>
      </w:pPr>
      <w:r>
        <w:t>Publications</w:t>
      </w:r>
    </w:p>
    <w:p>
      <w:pPr>
        <w:pStyle w:val="Citation"/>
      </w:pPr>
      <w:r>
        <w:rPr>
          <w:b/>
          <w:bCs/>
          <w:color w:val="5B21B6"/>
        </w:rPr>
        <w:t xml:space="preserve">[1]  </w:t>
      </w:r>
      <w:r/>
      <w:r>
        <w:rPr>
          <w:b/>
          <w:bCs/>
        </w:rPr>
        <w:t>Kulkarni, A.</w:t>
      </w:r>
      <w:r>
        <w:t>, Kim, J., Okafor, D., &amp; Gupta, R.</w:t>
      </w:r>
      <w:r>
        <w:t xml:space="preserve"> (2026). Rethinking optimal transport on networks. </w:t>
      </w:r>
      <w:r>
        <w:rPr>
          <w:i/>
        </w:rPr>
        <w:t>Discrete Mathematics Review</w:t>
      </w:r>
      <w:r>
        <w:t>, 29(1), 790–810.</w:t>
      </w:r>
    </w:p>
    <w:p>
      <w:pPr>
        <w:pStyle w:val="Citation"/>
      </w:pPr>
      <w:r>
        <w:rPr>
          <w:b/>
          <w:bCs/>
          <w:color w:val="5B21B6"/>
        </w:rPr>
        <w:t xml:space="preserve">[2]  </w:t>
      </w:r>
      <w:r>
        <w:t xml:space="preserve">Sato, Y., Mensah, K., </w:t>
      </w:r>
      <w:r>
        <w:rPr>
          <w:b/>
          <w:bCs/>
        </w:rPr>
        <w:t>Kulkarni, A.</w:t>
      </w:r>
      <w:r>
        <w:t>, &amp; Menon, V.</w:t>
      </w:r>
      <w:r>
        <w:t xml:space="preserve"> (2026). Revisiting spectral methods for PDEs. </w:t>
      </w:r>
      <w:r>
        <w:rPr>
          <w:i/>
        </w:rPr>
        <w:t>Journal of Combinatorial Structures</w:t>
      </w:r>
      <w:r>
        <w:t>, 35(12), 602–620.</w:t>
      </w:r>
    </w:p>
    <w:p>
      <w:pPr>
        <w:pStyle w:val="Citation"/>
      </w:pPr>
      <w:r>
        <w:rPr>
          <w:b/>
          <w:bCs/>
          <w:color w:val="5B21B6"/>
        </w:rPr>
        <w:t xml:space="preserve">[3]  </w:t>
      </w:r>
      <w:r>
        <w:t xml:space="preserve">Haddad, N., &amp; </w:t>
      </w:r>
      <w:r>
        <w:rPr>
          <w:b/>
          <w:bCs/>
        </w:rPr>
        <w:t>Kulkarni, A.</w:t>
      </w:r>
      <w:r/>
      <w:r>
        <w:t xml:space="preserve"> (2026). Measuring spectral methods for PDEs. </w:t>
      </w:r>
      <w:r>
        <w:rPr>
          <w:i/>
        </w:rPr>
        <w:t>Discrete Mathematics Review</w:t>
      </w:r>
      <w:r>
        <w:t>, 32(7), 225–239.</w:t>
      </w:r>
    </w:p>
    <w:p>
      <w:pPr>
        <w:pStyle w:val="Citation"/>
      </w:pPr>
      <w:r>
        <w:rPr>
          <w:b/>
          <w:bCs/>
          <w:color w:val="5B21B6"/>
        </w:rPr>
        <w:t xml:space="preserve">[4]  </w:t>
      </w:r>
      <w:r/>
      <w:r>
        <w:rPr>
          <w:b/>
          <w:bCs/>
        </w:rPr>
        <w:t>Kulkarni, A.</w:t>
      </w:r>
      <w:r>
        <w:t>, Banerjee, P., Chen, L., &amp; Menon, V.</w:t>
      </w:r>
      <w:r>
        <w:t xml:space="preserve"> (2025). Revisiting random matrix ensembles. </w:t>
      </w:r>
      <w:r>
        <w:rPr>
          <w:i/>
        </w:rPr>
        <w:t>Proceedings of the Indian Mathematical Colloquium</w:t>
      </w:r>
      <w:r>
        <w:t>, pp. 144–157.</w:t>
      </w:r>
    </w:p>
    <w:p>
      <w:pPr>
        <w:pStyle w:val="Citation"/>
      </w:pPr>
      <w:r>
        <w:rPr>
          <w:b/>
          <w:bCs/>
          <w:color w:val="5B21B6"/>
        </w:rPr>
        <w:t xml:space="preserve">[5]  </w:t>
      </w:r>
      <w:r>
        <w:t xml:space="preserve">Gupta, R., </w:t>
      </w:r>
      <w:r>
        <w:rPr>
          <w:b/>
          <w:bCs/>
        </w:rPr>
        <w:t>Kulkarni, A.</w:t>
      </w:r>
      <w:r>
        <w:t>, Sato, Y., &amp; Kim, J.</w:t>
      </w:r>
      <w:r>
        <w:t xml:space="preserve"> (2025). Scaling additive combinatorics. </w:t>
      </w:r>
      <w:r>
        <w:rPr>
          <w:i/>
        </w:rPr>
        <w:t>Discrete Mathematics Review</w:t>
      </w:r>
      <w:r>
        <w:t>, 10(9), 722–733.</w:t>
      </w:r>
    </w:p>
    <w:p>
      <w:pPr>
        <w:pStyle w:val="Citation"/>
      </w:pPr>
      <w:r>
        <w:rPr>
          <w:b/>
          <w:bCs/>
          <w:color w:val="5B21B6"/>
        </w:rPr>
        <w:t xml:space="preserve">[6]  </w:t>
      </w:r>
      <w:r>
        <w:t xml:space="preserve">Menon, V., Iyer, M., Rao, S., &amp; </w:t>
      </w:r>
      <w:r>
        <w:rPr>
          <w:b/>
          <w:bCs/>
        </w:rPr>
        <w:t>Kulkarni, A.</w:t>
      </w:r>
      <w:r/>
      <w:r>
        <w:t xml:space="preserve"> (2025). Revisiting extremal graph theory. </w:t>
      </w:r>
      <w:r>
        <w:rPr>
          <w:i/>
        </w:rPr>
        <w:t>Annals of Applied Analysis</w:t>
      </w:r>
      <w:r>
        <w:t>, 22(8), 83–101.</w:t>
      </w:r>
    </w:p>
    <w:p>
      <w:pPr>
        <w:pStyle w:val="Citation"/>
      </w:pPr>
      <w:r>
        <w:rPr>
          <w:b/>
          <w:bCs/>
          <w:color w:val="5B21B6"/>
        </w:rPr>
        <w:t xml:space="preserve">[7]  </w:t>
      </w:r>
      <w:r>
        <w:t xml:space="preserve">Haddad, N., &amp; </w:t>
      </w:r>
      <w:r>
        <w:rPr>
          <w:b/>
          <w:bCs/>
        </w:rPr>
        <w:t>Kulkarni, A.</w:t>
      </w:r>
      <w:r/>
      <w:r>
        <w:t xml:space="preserve"> (2024). Towards extremal graph theory. </w:t>
      </w:r>
      <w:r>
        <w:rPr>
          <w:i/>
        </w:rPr>
        <w:t>Proceedings of the Indian Mathematical Colloquium</w:t>
      </w:r>
      <w:r>
        <w:t>, pp. 577–590.</w:t>
      </w:r>
    </w:p>
    <w:p>
      <w:pPr>
        <w:pStyle w:val="Citation"/>
      </w:pPr>
      <w:r>
        <w:rPr>
          <w:b/>
          <w:bCs/>
          <w:color w:val="5B21B6"/>
        </w:rPr>
        <w:t xml:space="preserve">[8]  </w:t>
      </w:r>
      <w:r>
        <w:t xml:space="preserve">Iyer, M., </w:t>
      </w:r>
      <w:r>
        <w:rPr>
          <w:b/>
          <w:bCs/>
        </w:rPr>
        <w:t>Kulkarni, A.</w:t>
      </w:r>
      <w:r>
        <w:t>, &amp; Okafor, D.</w:t>
      </w:r>
      <w:r>
        <w:t xml:space="preserve"> (2024). Evidence on random matrix ensembles. </w:t>
      </w:r>
      <w:r>
        <w:rPr>
          <w:i/>
        </w:rPr>
        <w:t>Annals of Applied Analysis</w:t>
      </w:r>
      <w:r>
        <w:t>, 42(10), 353–370.</w:t>
      </w:r>
    </w:p>
    <w:p>
      <w:pPr>
        <w:pStyle w:val="Citation"/>
      </w:pPr>
      <w:r>
        <w:rPr>
          <w:b/>
          <w:bCs/>
          <w:color w:val="5B21B6"/>
        </w:rPr>
        <w:t xml:space="preserve">[9]  </w:t>
      </w:r>
      <w:r/>
      <w:r>
        <w:rPr>
          <w:b/>
          <w:bCs/>
        </w:rPr>
        <w:t>Kulkarni, A.</w:t>
      </w:r>
      <w:r>
        <w:t>, Sato, Y., Iyer, M., &amp; Menon, V.</w:t>
      </w:r>
      <w:r>
        <w:t xml:space="preserve"> (2024). Measuring numerical stability of iterative solvers. </w:t>
      </w:r>
      <w:r>
        <w:rPr>
          <w:i/>
        </w:rPr>
        <w:t>Proceedings of the Indian Mathematical Colloquium</w:t>
      </w:r>
      <w:r>
        <w:t>, pp. 519–529.</w:t>
      </w:r>
    </w:p>
    <w:p>
      <w:pPr>
        <w:pStyle w:val="Citation"/>
      </w:pPr>
      <w:r>
        <w:rPr>
          <w:b/>
          <w:bCs/>
          <w:color w:val="5B21B6"/>
        </w:rPr>
        <w:t xml:space="preserve">[10]  </w:t>
      </w:r>
      <w:r>
        <w:t xml:space="preserve">Menon, V., </w:t>
      </w:r>
      <w:r>
        <w:rPr>
          <w:b/>
          <w:bCs/>
        </w:rPr>
        <w:t>Kulkarni, A.</w:t>
      </w:r>
      <w:r>
        <w:t>, Haddad, N., &amp; Mensah, K.</w:t>
      </w:r>
      <w:r>
        <w:t xml:space="preserve"> (2023). Designing for spectral methods for PDEs. </w:t>
      </w:r>
      <w:r>
        <w:rPr>
          <w:i/>
        </w:rPr>
        <w:t>Proceedings of the Indian Mathematical Colloquium</w:t>
      </w:r>
      <w:r>
        <w:t>, pp. 732–740.</w:t>
      </w:r>
    </w:p>
    <w:p>
      <w:pPr>
        <w:pStyle w:val="Citation"/>
      </w:pPr>
      <w:r>
        <w:rPr>
          <w:b/>
          <w:bCs/>
          <w:color w:val="5B21B6"/>
        </w:rPr>
        <w:t xml:space="preserve">[11]  </w:t>
      </w:r>
      <w:r>
        <w:t xml:space="preserve">Gupta, R., </w:t>
      </w:r>
      <w:r>
        <w:rPr>
          <w:b/>
          <w:bCs/>
        </w:rPr>
        <w:t>Kulkarni, A.</w:t>
      </w:r>
      <w:r>
        <w:t>, &amp; Chen, L.</w:t>
      </w:r>
      <w:r>
        <w:t xml:space="preserve"> (2023). Rethinking spectral methods for PDEs. </w:t>
      </w:r>
      <w:r>
        <w:rPr>
          <w:i/>
        </w:rPr>
        <w:t>Discrete Mathematics Review</w:t>
      </w:r>
      <w:r>
        <w:t>, 40(3), 263–274.</w:t>
      </w:r>
    </w:p>
    <w:p>
      <w:pPr>
        <w:pStyle w:val="Citation"/>
      </w:pPr>
      <w:r>
        <w:rPr>
          <w:b/>
          <w:bCs/>
          <w:color w:val="5B21B6"/>
        </w:rPr>
        <w:t xml:space="preserve">[12]  </w:t>
      </w:r>
      <w:r>
        <w:t xml:space="preserve">Banerjee, P., Sato, Y., Rao, S., &amp; </w:t>
      </w:r>
      <w:r>
        <w:rPr>
          <w:b/>
          <w:bCs/>
        </w:rPr>
        <w:t>Kulkarni, A.</w:t>
      </w:r>
      <w:r/>
      <w:r>
        <w:t xml:space="preserve"> (2023). Measuring random matrix ensembles. </w:t>
      </w:r>
      <w:r>
        <w:rPr>
          <w:i/>
        </w:rPr>
        <w:t>Discrete Mathematics Review</w:t>
      </w:r>
      <w:r>
        <w:t>, 46(12), 651–662.</w:t>
      </w:r>
    </w:p>
    <w:p>
      <w:pPr>
        <w:pStyle w:val="Citation"/>
      </w:pPr>
      <w:r>
        <w:rPr>
          <w:b/>
          <w:bCs/>
          <w:color w:val="5B21B6"/>
        </w:rPr>
        <w:t xml:space="preserve">[13]  </w:t>
      </w:r>
      <w:r>
        <w:t xml:space="preserve">Gupta, R., </w:t>
      </w:r>
      <w:r>
        <w:rPr>
          <w:b/>
          <w:bCs/>
        </w:rPr>
        <w:t>Kulkarni, A.</w:t>
      </w:r>
      <w:r>
        <w:t>, &amp; Okafor, D.</w:t>
      </w:r>
      <w:r>
        <w:t xml:space="preserve"> (2022). Towards extremal graph theory. </w:t>
      </w:r>
      <w:r>
        <w:rPr>
          <w:i/>
        </w:rPr>
        <w:t>Discrete Mathematics Review</w:t>
      </w:r>
      <w:r>
        <w:t>, 13(7), 413–426.</w:t>
      </w:r>
    </w:p>
    <w:p>
      <w:pPr>
        <w:pStyle w:val="Citation"/>
      </w:pPr>
      <w:r>
        <w:rPr>
          <w:b/>
          <w:bCs/>
          <w:color w:val="5B21B6"/>
        </w:rPr>
        <w:t xml:space="preserve">[14]  </w:t>
      </w:r>
      <w:r/>
      <w:r>
        <w:rPr>
          <w:b/>
          <w:bCs/>
        </w:rPr>
        <w:t>Kulkarni, A.</w:t>
      </w:r>
      <w:r>
        <w:t>, &amp; Gupta, R.</w:t>
      </w:r>
      <w:r>
        <w:t xml:space="preserve"> (2022). New approaches to numerical stability of iterative solvers. </w:t>
      </w:r>
      <w:r>
        <w:rPr>
          <w:i/>
        </w:rPr>
        <w:t>Journal of Combinatorial Structures</w:t>
      </w:r>
      <w:r>
        <w:t>, 34(8), 710–728.</w:t>
      </w:r>
    </w:p>
    <w:p>
      <w:pPr>
        <w:pStyle w:val="Citation"/>
      </w:pPr>
      <w:r>
        <w:rPr>
          <w:b/>
          <w:bCs/>
          <w:color w:val="5B21B6"/>
        </w:rPr>
        <w:t xml:space="preserve">[15]  </w:t>
      </w:r>
      <w:r>
        <w:t xml:space="preserve">Kim, J., Banerjee, P., </w:t>
      </w:r>
      <w:r>
        <w:rPr>
          <w:b/>
          <w:bCs/>
        </w:rPr>
        <w:t>Kulkarni, A.</w:t>
      </w:r>
      <w:r>
        <w:t>, &amp; Okafor, D.</w:t>
      </w:r>
      <w:r>
        <w:t xml:space="preserve"> (2022). Understanding random matrix ensembles. </w:t>
      </w:r>
      <w:r>
        <w:rPr>
          <w:i/>
        </w:rPr>
        <w:t>Journal of Combinatorial Structures</w:t>
      </w:r>
      <w:r>
        <w:t>, 11(1), 198–208.</w:t>
      </w:r>
    </w:p>
    <w:p>
      <w:pPr>
        <w:pStyle w:val="SectionHeading"/>
        <w:pBdr>
          <w:bottom w:val="single" w:sz="18" w:space="1" w:color="BDA6E1"/>
        </w:pBdr>
      </w:pPr>
      <w:r>
        <w:t>Conference Presentations &amp; Invited Talks</w:t>
      </w:r>
    </w:p>
    <w:p>
      <w:pPr>
        <w:pStyle w:val="ResumeBullet"/>
      </w:pPr>
      <w:r>
        <w:t>Seminar: “Revisiting optimal transport on networks”, Discrete Mathematics Review, Melbourne, 2026.</w:t>
      </w:r>
    </w:p>
    <w:p>
      <w:pPr>
        <w:pStyle w:val="ResumeBullet"/>
      </w:pPr>
      <w:r>
        <w:t>Seminar: “Evidence on numerical stability of iterative solvers”, Annals of Applied Analysis, London, 2026.</w:t>
      </w:r>
    </w:p>
    <w:p>
      <w:pPr>
        <w:pStyle w:val="ResumeBullet"/>
      </w:pPr>
      <w:r>
        <w:t>Keynote: “Evidence on spectral methods for PDEs”, Symposium on Combinatorial Structures, Melbourne, 2025.</w:t>
      </w:r>
    </w:p>
    <w:p>
      <w:pPr>
        <w:pStyle w:val="ResumeBullet"/>
      </w:pPr>
      <w:r>
        <w:t>Poster: “Rethinking additive combinatorics”, Annals of Applied Analysis, New Delhi, 2025.</w:t>
      </w:r>
    </w:p>
    <w:p>
      <w:pPr>
        <w:pStyle w:val="ResumeBullet"/>
      </w:pPr>
      <w:r>
        <w:t>Seminar: “A study of extremal graph theory”, Symposium on Combinatorial Structures, London, 2024.</w:t>
      </w:r>
    </w:p>
    <w:p>
      <w:pPr>
        <w:pStyle w:val="ResumeBullet"/>
      </w:pPr>
      <w:r>
        <w:t>Seminar: “Designing for numerical stability of iterative solvers”, Symposium on Combinatorial Structures, London, 2024.</w:t>
      </w:r>
    </w:p>
    <w:p>
      <w:pPr>
        <w:pStyle w:val="ResumeBullet"/>
      </w:pPr>
      <w:r>
        <w:t>Seminar: “Designing for optimal transport on networks”, Annals of Applied Analysis, Singapore, 2023.</w:t>
      </w:r>
    </w:p>
    <w:p>
      <w:pPr>
        <w:pStyle w:val="ResumeBullet"/>
      </w:pPr>
      <w:r>
        <w:t>Seminar: “Scaling spectral methods for PDEs”, Annals of Applied Analysis, Bengaluru, 2023.</w:t>
      </w:r>
    </w:p>
    <w:p>
      <w:pPr>
        <w:pStyle w:val="ResumeBullet"/>
      </w:pPr>
      <w:r>
        <w:t>Keynote: “Scaling random matrix ensembles”, Symposium on Combinatorial Structures, Toronto, 2022.</w:t>
      </w:r>
    </w:p>
    <w:p>
      <w:pPr>
        <w:pStyle w:val="SectionHeading"/>
        <w:pBdr>
          <w:bottom w:val="single" w:sz="18" w:space="1" w:color="BDA6E1"/>
        </w:pBdr>
      </w:pPr>
      <w:r>
        <w:t>Teaching</w:t>
      </w:r>
    </w:p>
    <w:p>
      <w:pPr>
        <w:pStyle w:val="ResumeBullet"/>
      </w:pPr>
      <w:r>
        <w:t>Real Analysis (B.Sc.)</w:t>
      </w:r>
    </w:p>
    <w:p>
      <w:pPr>
        <w:pStyle w:val="ResumeBullet"/>
      </w:pPr>
      <w:r>
        <w:t>Graph Theory (M.Sc.)</w:t>
      </w:r>
    </w:p>
    <w:p>
      <w:pPr>
        <w:pStyle w:val="ResumeBullet"/>
      </w:pPr>
      <w:r>
        <w:t>Probabilistic Methods in Combinatorics (Ph.D.)</w:t>
      </w:r>
    </w:p>
    <w:p>
      <w:pPr>
        <w:pStyle w:val="ResumeBullet"/>
      </w:pPr>
      <w:r>
        <w:t>Mathematical Olympiad training camp (2017–present)</w:t>
      </w:r>
    </w:p>
    <w:p>
      <w:pPr>
        <w:pStyle w:val="SectionHeading"/>
        <w:pBdr>
          <w:bottom w:val="single" w:sz="18" w:space="1" w:color="BDA6E1"/>
        </w:pBdr>
      </w:pPr>
      <w:r>
        <w:t>Grants, Awards &amp; Honours</w:t>
      </w:r>
    </w:p>
    <w:p>
      <w:pPr>
        <w:pStyle w:val="ResumeBullet"/>
      </w:pPr>
      <w:r>
        <w:t>Core research grant, national science board (2020–2023), ₹32 lakh</w:t>
      </w:r>
    </w:p>
    <w:p>
      <w:pPr>
        <w:pStyle w:val="ResumeBullet"/>
      </w:pPr>
      <w:r>
        <w:t>Young Mathematician Prize, national mathematical society (2018)</w:t>
      </w:r>
    </w:p>
    <w:p>
      <w:pPr>
        <w:pStyle w:val="ResumeBullet"/>
      </w:pPr>
      <w:r>
        <w:t>Postdoctoral fellowship, Lakeshore University (2013–2015)</w:t>
      </w:r>
    </w:p>
    <w:p>
      <w:pPr>
        <w:pStyle w:val="SectionHeading"/>
        <w:pBdr>
          <w:bottom w:val="single" w:sz="18" w:space="1" w:color="BDA6E1"/>
        </w:pBdr>
      </w:pPr>
      <w:r>
        <w:t>Professional Service</w:t>
      </w:r>
    </w:p>
    <w:p>
      <w:pPr>
        <w:pStyle w:val="ResumeBullet"/>
      </w:pPr>
      <w:r>
        <w:t>Editorial board, Discrete Mathematics Review</w:t>
      </w:r>
    </w:p>
    <w:p>
      <w:pPr>
        <w:pStyle w:val="ResumeBullet"/>
      </w:pPr>
      <w:r>
        <w:t>Organiser, Pune Combinatorics Workshop (2018, 2022, 2025)</w:t>
      </w:r>
    </w:p>
    <w:p>
      <w:pPr>
        <w:pStyle w:val="SectionHeading"/>
        <w:pBdr>
          <w:bottom w:val="single" w:sz="18" w:space="1" w:color="BDA6E1"/>
        </w:pBdr>
      </w:pPr>
      <w:r>
        <w:t>Skills</w:t>
      </w:r>
    </w:p>
    <w:p>
      <w:pPr>
        <w:pStyle w:val="BodyText"/>
      </w:pPr>
      <w:r>
        <w:rPr>
          <w:b/>
          <w:bCs/>
        </w:rPr>
        <w:t xml:space="preserve">Research: </w:t>
      </w:r>
      <w:r>
        <w:t>Extremal combinatorics, probabilistic method, spectral graph theory</w:t>
      </w:r>
    </w:p>
    <w:p>
      <w:pPr>
        <w:pStyle w:val="BodyText"/>
      </w:pPr>
      <w:r>
        <w:rPr>
          <w:b/>
          <w:bCs/>
        </w:rPr>
        <w:t xml:space="preserve">Computing: </w:t>
      </w:r>
      <w:r>
        <w:t>SageMath, Python, LaTeX, Lean (basic)</w:t>
      </w:r>
    </w:p>
    <w:p>
      <w:pPr>
        <w:pStyle w:val="BodyText"/>
      </w:pPr>
      <w:r>
        <w:rPr>
          <w:b/>
          <w:bCs/>
        </w:rPr>
        <w:t xml:space="preserve">Languages: </w:t>
      </w:r>
      <w:r>
        <w:t>Marathi (native), English, Hindi</w:t>
      </w:r>
    </w:p>
    <w:p>
      <w:pPr>
        <w:pStyle w:val="SectionHeading"/>
        <w:pBdr>
          <w:bottom w:val="single" w:sz="18" w:space="1" w:color="BDA6E1"/>
        </w:pBdr>
      </w:pPr>
      <w:r>
        <w:t>References</w:t>
      </w:r>
    </w:p>
    <w:p>
      <w:pPr>
        <w:pStyle w:val="BodyText"/>
        <w:keepNext/>
        <w:spacing w:after="0"/>
      </w:pPr>
      <w:r>
        <w:rPr>
          <w:b/>
          <w:bCs/>
        </w:rPr>
        <w:t>Prof. R. Bhat</w:t>
      </w:r>
    </w:p>
    <w:p>
      <w:pPr>
        <w:pStyle w:val="BodyText"/>
        <w:keepNext/>
        <w:spacing w:after="0"/>
      </w:pPr>
      <w:r>
        <w:t>Professor, Institute of Mathematical Sciences, Deccan</w:t>
      </w:r>
    </w:p>
    <w:p>
      <w:pPr>
        <w:pStyle w:val="BodyText"/>
        <w:spacing w:after="100"/>
      </w:pPr>
      <w:r>
        <w:t>r.bhat@institute.edu</w:t>
      </w:r>
    </w:p>
    <w:p>
      <w:pPr>
        <w:pStyle w:val="BodyText"/>
        <w:keepNext/>
        <w:spacing w:after="0"/>
      </w:pPr>
      <w:r>
        <w:rPr>
          <w:b/>
          <w:bCs/>
        </w:rPr>
        <w:t>Prof. E. Novak</w:t>
      </w:r>
    </w:p>
    <w:p>
      <w:pPr>
        <w:pStyle w:val="BodyText"/>
        <w:keepNext/>
        <w:spacing w:after="0"/>
      </w:pPr>
      <w:r>
        <w:t>Professor, Lakeshore University</w:t>
      </w:r>
    </w:p>
    <w:p>
      <w:pPr>
        <w:pStyle w:val="BodyText"/>
        <w:spacing w:after="100"/>
      </w:pPr>
      <w:r>
        <w:t>e.novak@university.example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077" w:right="1304" w:bottom="1020" w:left="1304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unito" w:hAnsi="Nunito" w:eastAsia="Nunito" w:cs="Nunito"/>
        <w:color w:val="888888"/>
        <w:sz w:val="16"/>
        <w:szCs w:val="16"/>
      </w:rPr>
      <w:t xml:space="preserve">Page </w:t>
    </w:r>
    <w:r>
      <w:rPr>
        <w:rFonts w:ascii="Nunito" w:hAnsi="Nunito" w:eastAsia="Nunito" w:cs="Nunito"/>
        <w:color w:val="888888"/>
        <w:sz w:val="16"/>
        <w:szCs w:val="16"/>
      </w:rPr>
      <w:fldChar w:fldCharType="begin"/>
    </w:r>
    <w:r>
      <w:rPr>
        <w:rFonts w:ascii="Nunito" w:hAnsi="Nunito" w:eastAsia="Nunito" w:cs="Nunito"/>
        <w:color w:val="888888"/>
        <w:sz w:val="16"/>
        <w:szCs w:val="16"/>
      </w:rPr>
      <w:instrText xml:space="preserve"> PAGE </w:instrText>
    </w:r>
    <w:r>
      <w:rPr>
        <w:rFonts w:ascii="Nunito" w:hAnsi="Nunito" w:eastAsia="Nunito" w:cs="Nunito"/>
        <w:color w:val="888888"/>
        <w:sz w:val="16"/>
        <w:szCs w:val="16"/>
      </w:rPr>
      <w:fldChar w:fldCharType="separate"/>
    </w:r>
    <w:r>
      <w:rPr>
        <w:rFonts w:ascii="Nunito" w:hAnsi="Nunito" w:eastAsia="Nunito" w:cs="Nunito"/>
        <w:color w:val="888888"/>
        <w:sz w:val="16"/>
        <w:szCs w:val="16"/>
      </w:rPr>
      <w:t>1</w:t>
    </w:r>
    <w:r>
      <w:rPr>
        <w:rFonts w:ascii="Nunito" w:hAnsi="Nunito" w:eastAsia="Nunito" w:cs="Nunito"/>
        <w:color w:val="888888"/>
        <w:sz w:val="16"/>
        <w:szCs w:val="16"/>
      </w:rPr>
      <w:fldChar w:fldCharType="end"/>
    </w:r>
    <w:r>
      <w:rPr>
        <w:rFonts w:ascii="Nunito" w:hAnsi="Nunito" w:eastAsia="Nunito" w:cs="Nunito"/>
        <w:color w:val="888888"/>
        <w:sz w:val="16"/>
        <w:szCs w:val="16"/>
      </w:rPr>
      <w:t xml:space="preserve"> of </w:t>
    </w:r>
    <w:r>
      <w:rPr>
        <w:rFonts w:ascii="Nunito" w:hAnsi="Nunito" w:eastAsia="Nunito" w:cs="Nunito"/>
        <w:color w:val="888888"/>
        <w:sz w:val="16"/>
        <w:szCs w:val="16"/>
      </w:rPr>
      <w:fldChar w:fldCharType="begin"/>
    </w:r>
    <w:r>
      <w:rPr>
        <w:rFonts w:ascii="Nunito" w:hAnsi="Nunito" w:eastAsia="Nunito" w:cs="Nunito"/>
        <w:color w:val="888888"/>
        <w:sz w:val="16"/>
        <w:szCs w:val="16"/>
      </w:rPr>
      <w:instrText xml:space="preserve"> NUMPAGES </w:instrText>
    </w:r>
    <w:r>
      <w:rPr>
        <w:rFonts w:ascii="Nunito" w:hAnsi="Nunito" w:eastAsia="Nunito" w:cs="Nunito"/>
        <w:color w:val="888888"/>
        <w:sz w:val="16"/>
        <w:szCs w:val="16"/>
      </w:rPr>
      <w:fldChar w:fldCharType="separate"/>
    </w:r>
    <w:r>
      <w:rPr>
        <w:rFonts w:ascii="Nunito" w:hAnsi="Nunito" w:eastAsia="Nunito" w:cs="Nunito"/>
        <w:color w:val="888888"/>
        <w:sz w:val="16"/>
        <w:szCs w:val="16"/>
      </w:rPr>
      <w:t>1</w:t>
    </w:r>
    <w:r>
      <w:rPr>
        <w:rFonts w:ascii="Nunito" w:hAnsi="Nunito" w:eastAsia="Nunito" w:cs="Nunito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unito" w:hAnsi="Nunito" w:eastAsia="Nunito" w:cs="Nunito"/>
        <w:color w:val="888888"/>
        <w:sz w:val="16"/>
        <w:szCs w:val="16"/>
      </w:rPr>
      <w:t xml:space="preserve">Page </w:t>
    </w:r>
    <w:r>
      <w:rPr>
        <w:rFonts w:ascii="Nunito" w:hAnsi="Nunito" w:eastAsia="Nunito" w:cs="Nunito"/>
        <w:color w:val="888888"/>
        <w:sz w:val="16"/>
        <w:szCs w:val="16"/>
      </w:rPr>
      <w:fldChar w:fldCharType="begin"/>
    </w:r>
    <w:r>
      <w:rPr>
        <w:rFonts w:ascii="Nunito" w:hAnsi="Nunito" w:eastAsia="Nunito" w:cs="Nunito"/>
        <w:color w:val="888888"/>
        <w:sz w:val="16"/>
        <w:szCs w:val="16"/>
      </w:rPr>
      <w:instrText xml:space="preserve"> PAGE </w:instrText>
    </w:r>
    <w:r>
      <w:rPr>
        <w:rFonts w:ascii="Nunito" w:hAnsi="Nunito" w:eastAsia="Nunito" w:cs="Nunito"/>
        <w:color w:val="888888"/>
        <w:sz w:val="16"/>
        <w:szCs w:val="16"/>
      </w:rPr>
      <w:fldChar w:fldCharType="separate"/>
    </w:r>
    <w:r>
      <w:rPr>
        <w:rFonts w:ascii="Nunito" w:hAnsi="Nunito" w:eastAsia="Nunito" w:cs="Nunito"/>
        <w:color w:val="888888"/>
        <w:sz w:val="16"/>
        <w:szCs w:val="16"/>
      </w:rPr>
      <w:t>1</w:t>
    </w:r>
    <w:r>
      <w:rPr>
        <w:rFonts w:ascii="Nunito" w:hAnsi="Nunito" w:eastAsia="Nunito" w:cs="Nunito"/>
        <w:color w:val="888888"/>
        <w:sz w:val="16"/>
        <w:szCs w:val="16"/>
      </w:rPr>
      <w:fldChar w:fldCharType="end"/>
    </w:r>
    <w:r>
      <w:rPr>
        <w:rFonts w:ascii="Nunito" w:hAnsi="Nunito" w:eastAsia="Nunito" w:cs="Nunito"/>
        <w:color w:val="888888"/>
        <w:sz w:val="16"/>
        <w:szCs w:val="16"/>
      </w:rPr>
      <w:t xml:space="preserve"> of </w:t>
    </w:r>
    <w:r>
      <w:rPr>
        <w:rFonts w:ascii="Nunito" w:hAnsi="Nunito" w:eastAsia="Nunito" w:cs="Nunito"/>
        <w:color w:val="888888"/>
        <w:sz w:val="16"/>
        <w:szCs w:val="16"/>
      </w:rPr>
      <w:fldChar w:fldCharType="begin"/>
    </w:r>
    <w:r>
      <w:rPr>
        <w:rFonts w:ascii="Nunito" w:hAnsi="Nunito" w:eastAsia="Nunito" w:cs="Nunito"/>
        <w:color w:val="888888"/>
        <w:sz w:val="16"/>
        <w:szCs w:val="16"/>
      </w:rPr>
      <w:instrText xml:space="preserve"> NUMPAGES </w:instrText>
    </w:r>
    <w:r>
      <w:rPr>
        <w:rFonts w:ascii="Nunito" w:hAnsi="Nunito" w:eastAsia="Nunito" w:cs="Nunito"/>
        <w:color w:val="888888"/>
        <w:sz w:val="16"/>
        <w:szCs w:val="16"/>
      </w:rPr>
      <w:fldChar w:fldCharType="separate"/>
    </w:r>
    <w:r>
      <w:rPr>
        <w:rFonts w:ascii="Nunito" w:hAnsi="Nunito" w:eastAsia="Nunito" w:cs="Nunito"/>
        <w:color w:val="888888"/>
        <w:sz w:val="16"/>
        <w:szCs w:val="16"/>
      </w:rPr>
      <w:t>1</w:t>
    </w:r>
    <w:r>
      <w:rPr>
        <w:rFonts w:ascii="Nunito" w:hAnsi="Nunito" w:eastAsia="Nunito" w:cs="Nunito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298" w:val="right"/>
      </w:tabs>
      <w:jc w:val="left"/>
    </w:pPr>
    <w:r>
      <w:rPr>
        <w:color w:val="777777"/>
        <w:sz w:val="17"/>
        <w:szCs w:val="17"/>
      </w:rPr>
      <w:t>Dr. Aniket Kulkarni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›"/>
      <w:lvlJc w:val="left"/>
      <w:pPr>
        <w:ind w:left="283" w:hanging="227"/>
      </w:pPr>
      <w:rPr>
        <w:rFonts w:ascii="Arial" w:hAnsi="Arial" w:cs="Arial" w:hint="default"/>
        <w:color w:val="5B21B6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unito" w:hAnsi="Nunito" w:eastAsia="Nunito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Nunito" w:hAnsi="Nunito" w:eastAsia="Nunito" w:cs="Mukta"/>
      <w:color w:val="1E1E1E"/>
      <w:sz w:val="19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Nunito" w:hAnsi="Nunito" w:eastAsia="Nunito" w:cs="Mukta"/>
      <w:b w:val="0"/>
      <w:i w:val="0"/>
      <w:caps w:val="0"/>
      <w:smallCaps w:val="0"/>
      <w:color w:val="1E1E1E"/>
      <w:sz w:val="19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center"/>
    </w:pPr>
    <w:rPr>
      <w:rFonts w:ascii="Lora" w:hAnsi="Lora" w:eastAsia="Lora" w:cs="Mukta"/>
      <w:b/>
      <w:bCs/>
      <w:i w:val="0"/>
      <w:caps w:val="0"/>
      <w:smallCaps w:val="0"/>
      <w:color w:val="1E1E1E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center"/>
    </w:pPr>
    <w:rPr>
      <w:rFonts w:ascii="Nunito" w:hAnsi="Nunito" w:eastAsia="Nunito" w:cs="Mukta"/>
      <w:b w:val="0"/>
      <w:i w:val="0"/>
      <w:caps w:val="0"/>
      <w:smallCaps w:val="0"/>
      <w:color w:val="1E1E1E"/>
      <w:sz w:val="21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Nunito" w:hAnsi="Nunito" w:eastAsia="Nunito" w:cs="Mukta"/>
      <w:b w:val="0"/>
      <w:i w:val="0"/>
      <w:caps w:val="0"/>
      <w:smallCaps w:val="0"/>
      <w:color w:val="555555"/>
      <w:sz w:val="17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Lora" w:hAnsi="Lora" w:eastAsia="Lora" w:cs="Mukta"/>
      <w:b/>
      <w:bCs/>
      <w:i w:val="0"/>
      <w:caps/>
      <w:smallCaps w:val="0"/>
      <w:color w:val="5B21B6"/>
      <w:spacing w:val="28"/>
      <w:sz w:val="22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Nunito" w:hAnsi="Nunito" w:eastAsia="Nunito" w:cs="Mukta"/>
      <w:b w:val="0"/>
      <w:i w:val="0"/>
      <w:caps w:val="0"/>
      <w:smallCaps w:val="0"/>
      <w:color w:val="1E1E1E"/>
      <w:sz w:val="19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Nunito" w:hAnsi="Nunito" w:eastAsia="Nunito" w:cs="Mukta"/>
      <w:b/>
      <w:bCs/>
      <w:i w:val="0"/>
      <w:caps w:val="0"/>
      <w:smallCaps w:val="0"/>
      <w:color w:val="1E1E1E"/>
      <w:sz w:val="19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Nunito" w:hAnsi="Nunito" w:eastAsia="Nunito" w:cs="Mukta"/>
      <w:b w:val="0"/>
      <w:i/>
      <w:caps w:val="0"/>
      <w:smallCaps w:val="0"/>
      <w:color w:val="444444"/>
      <w:sz w:val="19"/>
      <w:szCs w:val="20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Nunito" w:hAnsi="Nunito" w:eastAsia="Nunito" w:cs="Mukta"/>
      <w:b w:val="0"/>
      <w:i w:val="0"/>
      <w:caps w:val="0"/>
      <w:smallCaps w:val="0"/>
      <w:color w:val="1E1E1E"/>
      <w:sz w:val="18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Nunito" w:hAnsi="Nunito" w:eastAsia="Nunito" w:cs="Mukta"/>
      <w:b w:val="0"/>
      <w:i w:val="0"/>
      <w:caps w:val="0"/>
      <w:smallCaps w:val="0"/>
      <w:color w:val="1E1E1E"/>
      <w:sz w:val="19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Centred Masthead · Soft Underline — Mathematician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