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act"/>
        <w:pBdr>
          <w:left w:val="single" w:sz="4" w:space="16" w:color="F4E8E8"/>
          <w:right w:val="single" w:sz="4" w:space="16" w:color="F4E8E8"/>
        </w:pBdr>
        <w:shd w:val="clear" w:color="auto" w:fill="F4E8E8"/>
        <w:spacing w:line="192" w:lineRule="auto"/>
        <w:ind w:left="340" w:right="340"/>
      </w:pPr>
    </w:p>
    <w:p>
      <w:pPr>
        <w:pStyle w:val="Name"/>
        <w:pBdr>
          <w:left w:val="single" w:sz="4" w:space="16" w:color="F4E8E8"/>
          <w:right w:val="single" w:sz="4" w:space="16" w:color="F4E8E8"/>
        </w:pBdr>
        <w:shd w:val="clear" w:color="auto" w:fill="F4E8E8"/>
        <w:spacing w:before="0"/>
        <w:ind w:left="340" w:right="340"/>
      </w:pPr>
      <w:r>
        <w:t>Dr. Rajiv Malhotra</w:t>
      </w:r>
    </w:p>
    <w:p>
      <w:pPr>
        <w:pStyle w:val="Role"/>
        <w:pBdr>
          <w:left w:val="single" w:sz="4" w:space="16" w:color="F4E8E8"/>
          <w:right w:val="single" w:sz="4" w:space="16" w:color="F4E8E8"/>
        </w:pBdr>
        <w:shd w:val="clear" w:color="auto" w:fill="F4E8E8"/>
        <w:ind w:left="340" w:right="340"/>
      </w:pPr>
      <w:r>
        <w:t>MS (Orthopaedics), Fellowship in Arthroplasty &amp; Sports Surgery</w:t>
      </w:r>
    </w:p>
    <w:p>
      <w:pPr>
        <w:pStyle w:val="Contact"/>
        <w:pBdr>
          <w:left w:val="single" w:sz="4" w:space="16" w:color="F4E8E8"/>
          <w:right w:val="single" w:sz="4" w:space="16" w:color="F4E8E8"/>
        </w:pBdr>
        <w:shd w:val="clear" w:color="auto" w:fill="F4E8E8"/>
        <w:ind w:left="340" w:right="340"/>
      </w:pPr>
      <w:r>
        <w:t>Chandigarh, India</w:t>
      </w:r>
      <w:r>
        <w:rPr>
          <w:color w:val="991B1B"/>
        </w:rPr>
        <w:t xml:space="preserve">   |   </w:t>
      </w:r>
      <w:r>
        <w:t>+91 98140 73529</w:t>
      </w:r>
      <w:r>
        <w:rPr>
          <w:color w:val="991B1B"/>
        </w:rPr>
        <w:t xml:space="preserve">   |   </w:t>
      </w:r>
      <w:r>
        <w:t>rajiv.malhotra@hospital.example</w:t>
      </w:r>
      <w:r>
        <w:rPr>
          <w:color w:val="991B1B"/>
        </w:rPr>
        <w:t xml:space="preserve">   |   </w:t>
      </w:r>
      <w:r>
        <w:t>drrajivortho.in</w:t>
      </w:r>
    </w:p>
    <w:p>
      <w:pPr>
        <w:pStyle w:val="Contact"/>
        <w:pBdr>
          <w:left w:val="single" w:sz="4" w:space="16" w:color="F4E8E8"/>
          <w:bottom w:val="single" w:sz="18" w:space="0" w:color="991B1B"/>
          <w:right w:val="single" w:sz="4" w:space="16" w:color="F4E8E8"/>
        </w:pBdr>
        <w:shd w:val="clear" w:color="auto" w:fill="F4E8E8"/>
        <w:spacing w:before="0" w:after="0" w:line="168" w:lineRule="auto"/>
        <w:ind w:left="340" w:right="340"/>
      </w:pPr>
      <w:r/>
    </w:p>
    <w:p>
      <w:pPr>
        <w:pStyle w:val="SectionHeading"/>
      </w:pPr>
      <w:r>
        <w:t>Profile</w:t>
      </w:r>
    </w:p>
    <w:p>
      <w:pPr>
        <w:pStyle w:val="Summary"/>
        <w:ind w:left="1531" w:right="0"/>
      </w:pPr>
      <w:r>
        <w:t>Orthopaedic surgeon specialising in knee and hip replacement and arthroscopic sports surgery, with 2,500+ joint replacements. Early adopter of robot-assisted knee surgery in the region.</w:t>
      </w:r>
    </w:p>
    <w:p>
      <w:pPr>
        <w:pStyle w:val="SectionHeading"/>
      </w:pPr>
      <w:r>
        <w:t>Education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6"/>
          <w:szCs w:val="17"/>
        </w:rPr>
        <w:t>2014 – 2015</w:t>
      </w:r>
      <w:r>
        <w:tab/>
      </w:r>
      <w:r>
        <w:t>Fellowship, Arthroplasty and Sports Surgery</w:t>
      </w:r>
    </w:p>
    <w:p>
      <w:pPr>
        <w:pStyle w:val="EntryMeta"/>
        <w:ind w:left="1531" w:right="0"/>
      </w:pPr>
      <w:r>
        <w:t>Alpine Joint Institute (overseas)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6"/>
          <w:szCs w:val="17"/>
        </w:rPr>
        <w:t>2009 – 2012</w:t>
      </w:r>
      <w:r>
        <w:tab/>
      </w:r>
      <w:r>
        <w:t>MS, Orthopaedics</w:t>
      </w:r>
    </w:p>
    <w:p>
      <w:pPr>
        <w:pStyle w:val="EntryMeta"/>
        <w:ind w:left="1531" w:right="0"/>
      </w:pPr>
      <w:r>
        <w:t>Shivalik Postgraduate Institute of Medical Sciences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6"/>
          <w:szCs w:val="17"/>
        </w:rPr>
        <w:t>2003 – 2008</w:t>
      </w:r>
      <w:r>
        <w:tab/>
      </w:r>
      <w:r>
        <w:t>MBBS</w:t>
      </w:r>
    </w:p>
    <w:p>
      <w:pPr>
        <w:pStyle w:val="EntryMeta"/>
        <w:ind w:left="1531" w:right="0"/>
      </w:pPr>
      <w:r>
        <w:t>Government Medical College, Patiala Plains</w:t>
      </w:r>
    </w:p>
    <w:p>
      <w:pPr>
        <w:pStyle w:val="SectionHeading"/>
      </w:pPr>
      <w:r>
        <w:t>Surgical Appointments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6"/>
          <w:szCs w:val="17"/>
        </w:rPr>
        <w:t>2019 – Present</w:t>
      </w:r>
      <w:r>
        <w:tab/>
      </w:r>
      <w:r>
        <w:t>Director, Joint Replacement &amp; Sports Injury</w:t>
      </w:r>
    </w:p>
    <w:p>
      <w:pPr>
        <w:pStyle w:val="EntryMeta"/>
        <w:ind w:left="1531" w:right="0"/>
      </w:pPr>
      <w:r>
        <w:t>Tricity Superspeciality Hospital, Chandigarh</w:t>
      </w:r>
    </w:p>
    <w:p>
      <w:pPr>
        <w:pStyle w:val="ResumeBullet"/>
      </w:pPr>
      <w:r>
        <w:t>Lead a team of 4 surgeons; 450 joint replacements a year with a 0.6% infection rate (sample data).</w:t>
      </w:r>
    </w:p>
    <w:p>
      <w:pPr>
        <w:pStyle w:val="ResumeBullet"/>
      </w:pPr>
      <w:r>
        <w:t>Set up the region's first robot-assisted knee programme.</w:t>
      </w:r>
    </w:p>
    <w:p>
      <w:pPr>
        <w:pStyle w:val="ResumeBullet"/>
      </w:pPr>
      <w:r>
        <w:t>Run a sports-injury clinic for state athletes.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6"/>
          <w:szCs w:val="17"/>
        </w:rPr>
        <w:t>2015 – 2019</w:t>
      </w:r>
      <w:r>
        <w:tab/>
      </w:r>
      <w:r>
        <w:t>Consultant Orthopaedic Surgeon</w:t>
      </w:r>
    </w:p>
    <w:p>
      <w:pPr>
        <w:pStyle w:val="EntryMeta"/>
        <w:ind w:left="1531" w:right="0"/>
      </w:pPr>
      <w:r>
        <w:t>Northline Hospital, Mohali</w:t>
      </w:r>
    </w:p>
    <w:p>
      <w:pPr>
        <w:pStyle w:val="ResumeBullet"/>
      </w:pPr>
      <w:r>
        <w:t>Trauma, arthroscopy and primary arthroplasty.</w:t>
      </w:r>
    </w:p>
    <w:p>
      <w:pPr>
        <w:pStyle w:val="SectionHeading"/>
      </w:pPr>
      <w:r>
        <w:t>Certifications &amp; Registrations</w:t>
      </w:r>
    </w:p>
    <w:p>
      <w:pPr>
        <w:pStyle w:val="ResumeBullet"/>
      </w:pPr>
      <w:r>
        <w:t>Registered Medical Practitioner, state medical council (registration on file)</w:t>
      </w:r>
    </w:p>
    <w:p>
      <w:pPr>
        <w:pStyle w:val="ResumeBullet"/>
      </w:pPr>
      <w:r>
        <w:t>ATLS provider</w:t>
      </w:r>
    </w:p>
    <w:p>
      <w:pPr>
        <w:pStyle w:val="ResumeBullet"/>
      </w:pPr>
      <w:r>
        <w:t>Certified robotic knee surgeon (manufacturer training)</w:t>
      </w:r>
    </w:p>
    <w:p>
      <w:pPr>
        <w:pStyle w:val="SectionHeading"/>
      </w:pPr>
      <w:r>
        <w:t>Publications</w:t>
      </w:r>
    </w:p>
    <w:p>
      <w:pPr>
        <w:pStyle w:val="Citation"/>
      </w:pPr>
      <w:r>
        <w:t xml:space="preserve">Fischer, A., Gupta, R., &amp; </w:t>
      </w:r>
      <w:r>
        <w:rPr>
          <w:b/>
          <w:bCs/>
        </w:rPr>
        <w:t>Malhotra, R.</w:t>
      </w:r>
      <w:r/>
      <w:r>
        <w:t xml:space="preserve"> (2026). Designing for spinal fusion techniques. </w:t>
      </w:r>
      <w:r>
        <w:rPr>
          <w:i/>
        </w:rPr>
        <w:t>Sports Medicine and Rehabilitation</w:t>
      </w:r>
      <w:r>
        <w:t>, 35(10), 253–269.</w:t>
      </w:r>
    </w:p>
    <w:p>
      <w:pPr>
        <w:pStyle w:val="Citation"/>
      </w:pPr>
      <w:r>
        <w:t xml:space="preserve">Fischer, A., </w:t>
      </w:r>
      <w:r>
        <w:rPr>
          <w:b/>
          <w:bCs/>
        </w:rPr>
        <w:t>Malhotra, R.</w:t>
      </w:r>
      <w:r>
        <w:t>, &amp; Rao, S.</w:t>
      </w:r>
      <w:r>
        <w:t xml:space="preserve"> (2026). Rethinking return to sport after shoulder surgery. </w:t>
      </w:r>
      <w:r>
        <w:rPr>
          <w:i/>
        </w:rPr>
        <w:t>Arthroplasty Research Letters</w:t>
      </w:r>
      <w:r>
        <w:t>, 45(10), 809–825.</w:t>
      </w:r>
    </w:p>
    <w:p>
      <w:pPr>
        <w:pStyle w:val="Citation"/>
      </w:pPr>
      <w:r>
        <w:t xml:space="preserve">Iyer, M., Okafor, D., &amp; </w:t>
      </w:r>
      <w:r>
        <w:rPr>
          <w:b/>
          <w:bCs/>
        </w:rPr>
        <w:t>Malhotra, R.</w:t>
      </w:r>
      <w:r/>
      <w:r>
        <w:t xml:space="preserve"> (2026). Measuring fragility hip fractures in the elderly. </w:t>
      </w:r>
      <w:r>
        <w:rPr>
          <w:i/>
        </w:rPr>
        <w:t>Journal of Orthopaedic Surgery and Trauma</w:t>
      </w:r>
      <w:r>
        <w:t>, 14(5), 23–32.</w:t>
      </w:r>
    </w:p>
    <w:p>
      <w:pPr>
        <w:pStyle w:val="Citation"/>
      </w:pPr>
      <w:r>
        <w:t xml:space="preserve">Okafor, D., </w:t>
      </w:r>
      <w:r>
        <w:rPr>
          <w:b/>
          <w:bCs/>
        </w:rPr>
        <w:t>Malhotra, R.</w:t>
      </w:r>
      <w:r>
        <w:t>, &amp; Menon, V.</w:t>
      </w:r>
      <w:r>
        <w:t xml:space="preserve"> (2025). Understanding ACL reconstruction outcomes. </w:t>
      </w:r>
      <w:r>
        <w:rPr>
          <w:i/>
        </w:rPr>
        <w:t>Sports Medicine and Rehabilitation</w:t>
      </w:r>
      <w:r>
        <w:t>, 39(6), 307–329.</w:t>
      </w:r>
    </w:p>
    <w:p>
      <w:pPr>
        <w:pStyle w:val="Citation"/>
      </w:pPr>
      <w:r/>
      <w:r>
        <w:rPr>
          <w:b/>
          <w:bCs/>
        </w:rPr>
        <w:t>Malhotra, R.</w:t>
      </w:r>
      <w:r>
        <w:t>, &amp; Mensah, K.</w:t>
      </w:r>
      <w:r>
        <w:t xml:space="preserve"> (2025). Understanding ACL reconstruction outcomes. </w:t>
      </w:r>
      <w:r>
        <w:rPr>
          <w:i/>
        </w:rPr>
        <w:t>Arthroplasty Research Letters</w:t>
      </w:r>
      <w:r>
        <w:t>, 48(12), 534–545.</w:t>
      </w:r>
    </w:p>
    <w:p>
      <w:pPr>
        <w:pStyle w:val="Citation"/>
      </w:pPr>
      <w:r>
        <w:t xml:space="preserve">Sato, Y., Kim, J., &amp; </w:t>
      </w:r>
      <w:r>
        <w:rPr>
          <w:b/>
          <w:bCs/>
        </w:rPr>
        <w:t>Malhotra, R.</w:t>
      </w:r>
      <w:r/>
      <w:r>
        <w:t xml:space="preserve"> (2025). Scaling return to sport after shoulder surgery. </w:t>
      </w:r>
      <w:r>
        <w:rPr>
          <w:i/>
        </w:rPr>
        <w:t>Proceedings of the Indian Orthopaedic Congress</w:t>
      </w:r>
      <w:r>
        <w:t>, pp. 742–754.</w:t>
      </w:r>
    </w:p>
    <w:p>
      <w:pPr>
        <w:pStyle w:val="Citation"/>
      </w:pPr>
      <w:r>
        <w:t xml:space="preserve">Gupta, R., </w:t>
      </w:r>
      <w:r>
        <w:rPr>
          <w:b/>
          <w:bCs/>
        </w:rPr>
        <w:t>Malhotra, R.</w:t>
      </w:r>
      <w:r>
        <w:t>, &amp; Haddad, N.</w:t>
      </w:r>
      <w:r>
        <w:t xml:space="preserve"> (2024). Designing for fragility hip fractures in the elderly. </w:t>
      </w:r>
      <w:r>
        <w:rPr>
          <w:i/>
        </w:rPr>
        <w:t>Sports Medicine and Rehabilitation</w:t>
      </w:r>
      <w:r>
        <w:t>, 9(6), 172–188.</w:t>
      </w:r>
    </w:p>
    <w:p>
      <w:pPr>
        <w:pStyle w:val="SectionHeading"/>
      </w:pPr>
      <w:r>
        <w:t>Conference Presentations &amp; Invited Talks</w:t>
      </w:r>
    </w:p>
    <w:p>
      <w:pPr>
        <w:pStyle w:val="ResumeBullet"/>
      </w:pPr>
      <w:r>
        <w:t>Invited talk: “Scaling return to sport after shoulder surgery”, Arthroplasty Research Letters, London, 2026.</w:t>
      </w:r>
    </w:p>
    <w:p>
      <w:pPr>
        <w:pStyle w:val="ResumeBullet"/>
      </w:pPr>
      <w:r>
        <w:t>Invited talk: “Designing for spinal fusion techniques”, Arthroplasty Research Letters, Melbourne, 2026.</w:t>
      </w:r>
    </w:p>
    <w:p>
      <w:pPr>
        <w:pStyle w:val="ResumeBullet"/>
      </w:pPr>
      <w:r>
        <w:t>Seminar: “Revisiting spinal fusion techniques”, Sports Medicine and Rehabilitation, Hyderabad, 2025.</w:t>
      </w:r>
    </w:p>
    <w:p>
      <w:pPr>
        <w:pStyle w:val="ResumeBullet"/>
      </w:pPr>
      <w:r>
        <w:t>Invited talk: “Revisiting ACL reconstruction outcomes”, Proceedings of the Indian Orthopaedic Congress, New Delhi, 2025.</w:t>
      </w:r>
    </w:p>
    <w:p>
      <w:pPr>
        <w:pStyle w:val="ResumeBullet"/>
      </w:pPr>
      <w:r>
        <w:t>Seminar: “Towards fragility hip fractures in the elderly”, Sports Medicine and Rehabilitation, Singapore, 2024.</w:t>
      </w:r>
    </w:p>
    <w:p>
      <w:pPr>
        <w:pStyle w:val="ResumeBullet"/>
      </w:pPr>
      <w:r>
        <w:t>Keynote: “A study of ACL reconstruction outcomes”, Symposium on Orthopaedic Surgery and Trauma, Bengaluru, 2024.</w:t>
      </w:r>
    </w:p>
    <w:p>
      <w:pPr>
        <w:pStyle w:val="ResumeBullet"/>
      </w:pPr>
      <w:r>
        <w:t>Contributed talk: “Scaling return to sport after shoulder surgery”, Sports Medicine and Rehabilitation, Melbourne, 2023.</w:t>
      </w:r>
    </w:p>
    <w:p>
      <w:pPr>
        <w:pStyle w:val="SectionHeading"/>
      </w:pPr>
      <w:r>
        <w:t>Teaching</w:t>
      </w:r>
    </w:p>
    <w:p>
      <w:pPr>
        <w:pStyle w:val="ResumeBullet"/>
      </w:pPr>
      <w:r>
        <w:t>DNB Orthopaedics faculty</w:t>
      </w:r>
    </w:p>
    <w:p>
      <w:pPr>
        <w:pStyle w:val="ResumeBullet"/>
      </w:pPr>
      <w:r>
        <w:t>Course director, annual cadaveric knee arthroscopy workshop</w:t>
      </w:r>
    </w:p>
    <w:p>
      <w:pPr>
        <w:pStyle w:val="SectionHeading"/>
      </w:pPr>
      <w:r>
        <w:t>Grants, Awards &amp; Honours</w:t>
      </w:r>
    </w:p>
    <w:p>
      <w:pPr>
        <w:pStyle w:val="ResumeBullet"/>
      </w:pPr>
      <w:r>
        <w:t>Travelling fellowship, Asia-Pacific arthroplasty society (2018)</w:t>
      </w:r>
    </w:p>
    <w:p>
      <w:pPr>
        <w:pStyle w:val="ResumeBullet"/>
      </w:pPr>
      <w:r>
        <w:t>Best Video Award, Indian orthopaedic congress (2022)</w:t>
      </w:r>
    </w:p>
    <w:p>
      <w:pPr>
        <w:pStyle w:val="SectionHeading"/>
      </w:pPr>
      <w:r>
        <w:t>Professional Service</w:t>
      </w:r>
    </w:p>
    <w:p>
      <w:pPr>
        <w:pStyle w:val="ResumeBullet"/>
      </w:pPr>
      <w:r>
        <w:t>Team doctor, state cricket association (2020–present)</w:t>
      </w:r>
    </w:p>
    <w:p>
      <w:pPr>
        <w:pStyle w:val="ResumeBullet"/>
      </w:pPr>
      <w:r>
        <w:t>Free joint-pain camps in rural Punjab</w:t>
      </w:r>
    </w:p>
    <w:p>
      <w:pPr>
        <w:pStyle w:val="SectionHeading"/>
      </w:pPr>
      <w:r>
        <w:t>Skills</w:t>
      </w:r>
    </w:p>
    <w:p>
      <w:pPr>
        <w:pStyle w:val="BodyText"/>
        <w:ind w:left="1531" w:right="0"/>
      </w:pPr>
      <w:r>
        <w:rPr>
          <w:b/>
          <w:bCs/>
        </w:rPr>
        <w:t xml:space="preserve">Surgical: </w:t>
      </w:r>
      <w:r>
        <w:t>Primary and revision knee/hip replacement, ACL reconstruction, shoulder arthroscopy</w:t>
      </w:r>
    </w:p>
    <w:p>
      <w:pPr>
        <w:pStyle w:val="BodyText"/>
        <w:ind w:left="1531" w:right="0"/>
      </w:pPr>
      <w:r>
        <w:rPr>
          <w:b/>
          <w:bCs/>
        </w:rPr>
        <w:t xml:space="preserve">Other: </w:t>
      </w:r>
      <w:r>
        <w:t>Robotic surgery, outcome registries, rehabilitation protocols</w:t>
      </w:r>
    </w:p>
    <w:p>
      <w:pPr>
        <w:pStyle w:val="BodyText"/>
        <w:ind w:left="1531" w:right="0"/>
      </w:pPr>
      <w:r>
        <w:rPr>
          <w:b/>
          <w:bCs/>
        </w:rPr>
        <w:t xml:space="preserve">Languages: </w:t>
      </w:r>
      <w:r>
        <w:t>Punjabi, Hindi, English</w:t>
      </w:r>
    </w:p>
    <w:p>
      <w:pPr>
        <w:pStyle w:val="SectionHeading"/>
      </w:pPr>
      <w:r>
        <w:t>References</w:t>
      </w:r>
    </w:p>
    <w:p>
      <w:pPr>
        <w:pStyle w:val="BodyText"/>
        <w:keepNext/>
        <w:spacing w:after="0"/>
        <w:ind w:left="1531" w:right="0"/>
      </w:pPr>
      <w:r>
        <w:rPr>
          <w:b/>
          <w:bCs/>
        </w:rPr>
        <w:t>Dr. K. Bedi</w:t>
      </w:r>
    </w:p>
    <w:p>
      <w:pPr>
        <w:pStyle w:val="BodyText"/>
        <w:keepNext/>
        <w:spacing w:after="0"/>
        <w:ind w:left="1531" w:right="0"/>
      </w:pPr>
      <w:r>
        <w:t>Chairman, Tricity Superspeciality Hospital</w:t>
      </w:r>
    </w:p>
    <w:p>
      <w:pPr>
        <w:pStyle w:val="BodyText"/>
        <w:spacing w:after="100"/>
        <w:ind w:left="1531" w:right="0"/>
      </w:pPr>
      <w:r>
        <w:t>k.bedi@hospital.example</w:t>
      </w:r>
    </w:p>
    <w:p>
      <w:pPr>
        <w:pStyle w:val="BodyText"/>
        <w:keepNext/>
        <w:spacing w:after="0"/>
        <w:ind w:left="1531" w:right="0"/>
      </w:pPr>
      <w:r>
        <w:rPr>
          <w:b/>
          <w:bCs/>
        </w:rPr>
        <w:t>Prof. M. Sood</w:t>
      </w:r>
    </w:p>
    <w:p>
      <w:pPr>
        <w:pStyle w:val="BodyText"/>
        <w:keepNext/>
        <w:spacing w:after="0"/>
        <w:ind w:left="1531" w:right="0"/>
      </w:pPr>
      <w:r>
        <w:t>Professor of Orthopaedics, Shivalik PGIMS</w:t>
      </w:r>
    </w:p>
    <w:p>
      <w:pPr>
        <w:pStyle w:val="BodyText"/>
        <w:spacing w:after="100"/>
        <w:ind w:left="1531" w:right="0"/>
      </w:pPr>
      <w:r>
        <w:t>m.sood@institute.edu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1191" w:bottom="1020" w:left="1191" w:header="510" w:footer="51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Open Sans" w:hAnsi="Open Sans" w:eastAsia="Open Sans" w:cs="Open Sans"/>
        <w:color w:val="888888"/>
        <w:sz w:val="16"/>
        <w:szCs w:val="16"/>
      </w:rPr>
      <w:t xml:space="preserve">Page </w:t>
    </w:r>
    <w:r>
      <w:rPr>
        <w:rFonts w:ascii="Open Sans" w:hAnsi="Open Sans" w:eastAsia="Open Sans" w:cs="Open Sans"/>
        <w:color w:val="888888"/>
        <w:sz w:val="16"/>
        <w:szCs w:val="16"/>
      </w:rPr>
      <w:fldChar w:fldCharType="begin"/>
    </w:r>
    <w:r>
      <w:rPr>
        <w:rFonts w:ascii="Open Sans" w:hAnsi="Open Sans" w:eastAsia="Open Sans" w:cs="Open Sans"/>
        <w:color w:val="888888"/>
        <w:sz w:val="16"/>
        <w:szCs w:val="16"/>
      </w:rPr>
      <w:instrText xml:space="preserve"> PAGE </w:instrText>
    </w:r>
    <w:r>
      <w:rPr>
        <w:rFonts w:ascii="Open Sans" w:hAnsi="Open Sans" w:eastAsia="Open Sans" w:cs="Open Sans"/>
        <w:color w:val="888888"/>
        <w:sz w:val="16"/>
        <w:szCs w:val="16"/>
      </w:rPr>
      <w:fldChar w:fldCharType="separate"/>
    </w:r>
    <w:r>
      <w:rPr>
        <w:rFonts w:ascii="Open Sans" w:hAnsi="Open Sans" w:eastAsia="Open Sans" w:cs="Open Sans"/>
        <w:color w:val="888888"/>
        <w:sz w:val="16"/>
        <w:szCs w:val="16"/>
      </w:rPr>
      <w:t>1</w:t>
    </w:r>
    <w:r>
      <w:rPr>
        <w:rFonts w:ascii="Open Sans" w:hAnsi="Open Sans" w:eastAsia="Open Sans" w:cs="Open Sans"/>
        <w:color w:val="888888"/>
        <w:sz w:val="16"/>
        <w:szCs w:val="16"/>
      </w:rPr>
      <w:fldChar w:fldCharType="end"/>
    </w:r>
    <w:r>
      <w:rPr>
        <w:rFonts w:ascii="Open Sans" w:hAnsi="Open Sans" w:eastAsia="Open Sans" w:cs="Open Sans"/>
        <w:color w:val="888888"/>
        <w:sz w:val="16"/>
        <w:szCs w:val="16"/>
      </w:rPr>
      <w:t xml:space="preserve"> of </w:t>
    </w:r>
    <w:r>
      <w:rPr>
        <w:rFonts w:ascii="Open Sans" w:hAnsi="Open Sans" w:eastAsia="Open Sans" w:cs="Open Sans"/>
        <w:color w:val="888888"/>
        <w:sz w:val="16"/>
        <w:szCs w:val="16"/>
      </w:rPr>
      <w:fldChar w:fldCharType="begin"/>
    </w:r>
    <w:r>
      <w:rPr>
        <w:rFonts w:ascii="Open Sans" w:hAnsi="Open Sans" w:eastAsia="Open Sans" w:cs="Open Sans"/>
        <w:color w:val="888888"/>
        <w:sz w:val="16"/>
        <w:szCs w:val="16"/>
      </w:rPr>
      <w:instrText xml:space="preserve"> NUMPAGES </w:instrText>
    </w:r>
    <w:r>
      <w:rPr>
        <w:rFonts w:ascii="Open Sans" w:hAnsi="Open Sans" w:eastAsia="Open Sans" w:cs="Open Sans"/>
        <w:color w:val="888888"/>
        <w:sz w:val="16"/>
        <w:szCs w:val="16"/>
      </w:rPr>
      <w:fldChar w:fldCharType="separate"/>
    </w:r>
    <w:r>
      <w:rPr>
        <w:rFonts w:ascii="Open Sans" w:hAnsi="Open Sans" w:eastAsia="Open Sans" w:cs="Open Sans"/>
        <w:color w:val="888888"/>
        <w:sz w:val="16"/>
        <w:szCs w:val="16"/>
      </w:rPr>
      <w:t>1</w:t>
    </w:r>
    <w:r>
      <w:rPr>
        <w:rFonts w:ascii="Open Sans" w:hAnsi="Open Sans" w:eastAsia="Open Sans" w:cs="Open Sans"/>
        <w:color w:val="888888"/>
        <w:sz w:val="16"/>
        <w:szCs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Open Sans" w:hAnsi="Open Sans" w:eastAsia="Open Sans" w:cs="Open Sans"/>
        <w:color w:val="888888"/>
        <w:sz w:val="16"/>
        <w:szCs w:val="16"/>
      </w:rPr>
      <w:t xml:space="preserve">Page </w:t>
    </w:r>
    <w:r>
      <w:rPr>
        <w:rFonts w:ascii="Open Sans" w:hAnsi="Open Sans" w:eastAsia="Open Sans" w:cs="Open Sans"/>
        <w:color w:val="888888"/>
        <w:sz w:val="16"/>
        <w:szCs w:val="16"/>
      </w:rPr>
      <w:fldChar w:fldCharType="begin"/>
    </w:r>
    <w:r>
      <w:rPr>
        <w:rFonts w:ascii="Open Sans" w:hAnsi="Open Sans" w:eastAsia="Open Sans" w:cs="Open Sans"/>
        <w:color w:val="888888"/>
        <w:sz w:val="16"/>
        <w:szCs w:val="16"/>
      </w:rPr>
      <w:instrText xml:space="preserve"> PAGE </w:instrText>
    </w:r>
    <w:r>
      <w:rPr>
        <w:rFonts w:ascii="Open Sans" w:hAnsi="Open Sans" w:eastAsia="Open Sans" w:cs="Open Sans"/>
        <w:color w:val="888888"/>
        <w:sz w:val="16"/>
        <w:szCs w:val="16"/>
      </w:rPr>
      <w:fldChar w:fldCharType="separate"/>
    </w:r>
    <w:r>
      <w:rPr>
        <w:rFonts w:ascii="Open Sans" w:hAnsi="Open Sans" w:eastAsia="Open Sans" w:cs="Open Sans"/>
        <w:color w:val="888888"/>
        <w:sz w:val="16"/>
        <w:szCs w:val="16"/>
      </w:rPr>
      <w:t>1</w:t>
    </w:r>
    <w:r>
      <w:rPr>
        <w:rFonts w:ascii="Open Sans" w:hAnsi="Open Sans" w:eastAsia="Open Sans" w:cs="Open Sans"/>
        <w:color w:val="888888"/>
        <w:sz w:val="16"/>
        <w:szCs w:val="16"/>
      </w:rPr>
      <w:fldChar w:fldCharType="end"/>
    </w:r>
    <w:r>
      <w:rPr>
        <w:rFonts w:ascii="Open Sans" w:hAnsi="Open Sans" w:eastAsia="Open Sans" w:cs="Open Sans"/>
        <w:color w:val="888888"/>
        <w:sz w:val="16"/>
        <w:szCs w:val="16"/>
      </w:rPr>
      <w:t xml:space="preserve"> of </w:t>
    </w:r>
    <w:r>
      <w:rPr>
        <w:rFonts w:ascii="Open Sans" w:hAnsi="Open Sans" w:eastAsia="Open Sans" w:cs="Open Sans"/>
        <w:color w:val="888888"/>
        <w:sz w:val="16"/>
        <w:szCs w:val="16"/>
      </w:rPr>
      <w:fldChar w:fldCharType="begin"/>
    </w:r>
    <w:r>
      <w:rPr>
        <w:rFonts w:ascii="Open Sans" w:hAnsi="Open Sans" w:eastAsia="Open Sans" w:cs="Open Sans"/>
        <w:color w:val="888888"/>
        <w:sz w:val="16"/>
        <w:szCs w:val="16"/>
      </w:rPr>
      <w:instrText xml:space="preserve"> NUMPAGES </w:instrText>
    </w:r>
    <w:r>
      <w:rPr>
        <w:rFonts w:ascii="Open Sans" w:hAnsi="Open Sans" w:eastAsia="Open Sans" w:cs="Open Sans"/>
        <w:color w:val="888888"/>
        <w:sz w:val="16"/>
        <w:szCs w:val="16"/>
      </w:rPr>
      <w:fldChar w:fldCharType="separate"/>
    </w:r>
    <w:r>
      <w:rPr>
        <w:rFonts w:ascii="Open Sans" w:hAnsi="Open Sans" w:eastAsia="Open Sans" w:cs="Open Sans"/>
        <w:color w:val="888888"/>
        <w:sz w:val="16"/>
        <w:szCs w:val="16"/>
      </w:rPr>
      <w:t>1</w:t>
    </w:r>
    <w:r>
      <w:rPr>
        <w:rFonts w:ascii="Open Sans" w:hAnsi="Open Sans" w:eastAsia="Open Sans" w:cs="Open Sans"/>
        <w:color w:val="888888"/>
        <w:sz w:val="16"/>
        <w:szCs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ontact"/>
      <w:pBdr>
        <w:bottom w:val="single" w:sz="4" w:space="3" w:color="BBBBBB"/>
      </w:pBdr>
      <w:tabs>
        <w:tab w:pos="9524" w:val="right"/>
      </w:tabs>
      <w:jc w:val="left"/>
    </w:pPr>
    <w:r>
      <w:rPr>
        <w:color w:val="777777"/>
        <w:sz w:val="17"/>
        <w:szCs w:val="17"/>
      </w:rPr>
      <w:t>Dr. Rajiv Malhotra — Curriculum Vitae</w:t>
    </w:r>
    <w:r>
      <w:tab/>
    </w:r>
    <w:r>
      <w:rPr>
        <w:color w:val="777777"/>
        <w:sz w:val="17"/>
        <w:szCs w:val="17"/>
      </w:rPr>
      <w:t xml:space="preserve">Page </w:t>
    </w:r>
    <w:r>
      <w:rPr>
        <w:color w:val="777777"/>
        <w:sz w:val="17"/>
        <w:szCs w:val="17"/>
      </w:rPr>
      <w:fldChar w:fldCharType="begin"/>
    </w:r>
    <w:r>
      <w:rPr>
        <w:color w:val="777777"/>
        <w:sz w:val="17"/>
        <w:szCs w:val="17"/>
      </w:rPr>
      <w:instrText xml:space="preserve"> PAGE </w:instrText>
    </w:r>
    <w:r>
      <w:rPr>
        <w:color w:val="777777"/>
        <w:sz w:val="17"/>
        <w:szCs w:val="17"/>
      </w:rPr>
      <w:fldChar w:fldCharType="separate"/>
    </w:r>
    <w:r>
      <w:rPr>
        <w:color w:val="777777"/>
        <w:sz w:val="17"/>
        <w:szCs w:val="17"/>
      </w:rPr>
      <w:t>1</w:t>
    </w:r>
    <w:r>
      <w:rPr>
        <w:color w:val="777777"/>
        <w:sz w:val="17"/>
        <w:szCs w:val="17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◦"/>
      <w:lvlJc w:val="left"/>
      <w:pPr>
        <w:ind w:left="1814" w:hanging="227"/>
      </w:pPr>
      <w:rPr>
        <w:rFonts w:ascii="Segoe UI Symbol" w:hAnsi="Segoe UI Symbol" w:cs="Segoe UI Symbol" w:hint="default"/>
        <w:color w:val="991B1B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Open Sans" w:hAnsi="Open Sans" w:eastAsia="Open Sans" w:cs="Mukta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Open Sans" w:hAnsi="Open Sans" w:eastAsia="Open Sans" w:cs="Mukta"/>
      <w:color w:val="1E1E1E"/>
      <w:sz w:val="17"/>
      <w:szCs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40" w:before="0" w:line="276" w:lineRule="auto"/>
    </w:pPr>
    <w:rPr>
      <w:rFonts w:ascii="Open Sans" w:hAnsi="Open Sans" w:eastAsia="Open Sans" w:cs="Mukta"/>
      <w:b w:val="0"/>
      <w:i w:val="0"/>
      <w:caps w:val="0"/>
      <w:smallCaps w:val="0"/>
      <w:color w:val="1E1E1E"/>
      <w:sz w:val="17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  <w:jc w:val="left"/>
    </w:pPr>
    <w:rPr>
      <w:rFonts w:ascii="Montserrat" w:hAnsi="Montserrat" w:eastAsia="Montserrat" w:cs="Mukta"/>
      <w:b/>
      <w:bCs/>
      <w:i w:val="0"/>
      <w:caps w:val="0"/>
      <w:smallCaps w:val="0"/>
      <w:color w:val="1E1E1E"/>
      <w:sz w:val="48"/>
      <w:szCs w:val="48"/>
    </w:rPr>
  </w:style>
  <w:style w:type="paragraph" w:customStyle="1" w:styleId="Role">
    <w:name w:val="Role"/>
    <w:basedOn w:val="Normal"/>
    <w:qFormat/>
    <w:pPr>
      <w:keepNext w:val="0"/>
      <w:widowControl/>
      <w:spacing w:before="0" w:after="40"/>
      <w:jc w:val="left"/>
    </w:pPr>
    <w:rPr>
      <w:rFonts w:ascii="Open Sans" w:hAnsi="Open Sans" w:eastAsia="Open Sans" w:cs="Mukta"/>
      <w:b w:val="0"/>
      <w:i w:val="0"/>
      <w:caps w:val="0"/>
      <w:smallCaps w:val="0"/>
      <w:color w:val="1E1E1E"/>
      <w:sz w:val="19"/>
      <w:szCs w:val="20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left"/>
    </w:pPr>
    <w:rPr>
      <w:rFonts w:ascii="Open Sans" w:hAnsi="Open Sans" w:eastAsia="Open Sans" w:cs="Mukta"/>
      <w:b w:val="0"/>
      <w:i w:val="0"/>
      <w:caps w:val="0"/>
      <w:smallCaps w:val="0"/>
      <w:color w:val="555555"/>
      <w:sz w:val="15"/>
      <w:szCs w:val="16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00"/>
    </w:pPr>
    <w:rPr>
      <w:rFonts w:ascii="Montserrat" w:hAnsi="Montserrat" w:eastAsia="Montserrat" w:cs="Mukta"/>
      <w:b/>
      <w:bCs/>
      <w:i w:val="0"/>
      <w:caps/>
      <w:smallCaps w:val="0"/>
      <w:color w:val="991B1B"/>
      <w:spacing w:val="28"/>
      <w:sz w:val="20"/>
      <w:szCs w:val="21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8" w:lineRule="auto"/>
    </w:pPr>
    <w:rPr>
      <w:rFonts w:ascii="Open Sans" w:hAnsi="Open Sans" w:eastAsia="Open Sans" w:cs="Mukta"/>
      <w:b w:val="0"/>
      <w:i w:val="0"/>
      <w:caps w:val="0"/>
      <w:smallCaps w:val="0"/>
      <w:color w:val="1E1E1E"/>
      <w:sz w:val="17"/>
      <w:szCs w:val="18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0"/>
    </w:pPr>
    <w:rPr>
      <w:rFonts w:ascii="Open Sans" w:hAnsi="Open Sans" w:eastAsia="Open Sans" w:cs="Mukta"/>
      <w:b/>
      <w:bCs/>
      <w:i w:val="0"/>
      <w:caps w:val="0"/>
      <w:smallCaps w:val="0"/>
      <w:color w:val="1E1E1E"/>
      <w:sz w:val="17"/>
      <w:szCs w:val="18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Open Sans" w:hAnsi="Open Sans" w:eastAsia="Open Sans" w:cs="Mukta"/>
      <w:b w:val="0"/>
      <w:i/>
      <w:caps w:val="0"/>
      <w:smallCaps w:val="0"/>
      <w:color w:val="444444"/>
      <w:sz w:val="17"/>
      <w:szCs w:val="18"/>
    </w:rPr>
  </w:style>
  <w:style w:type="paragraph" w:customStyle="1" w:styleId="Citation">
    <w:name w:val="Citation"/>
    <w:basedOn w:val="Normal"/>
    <w:qFormat/>
    <w:pPr>
      <w:keepNext w:val="0"/>
      <w:widowControl/>
      <w:spacing w:before="0" w:after="60" w:line="276" w:lineRule="auto"/>
      <w:ind w:left="1984" w:hanging="454"/>
    </w:pPr>
    <w:rPr>
      <w:rFonts w:ascii="Open Sans" w:hAnsi="Open Sans" w:eastAsia="Open Sans" w:cs="Mukta"/>
      <w:b w:val="0"/>
      <w:i w:val="0"/>
      <w:caps w:val="0"/>
      <w:smallCaps w:val="0"/>
      <w:color w:val="1E1E1E"/>
      <w:sz w:val="16"/>
      <w:szCs w:val="17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276" w:lineRule="auto"/>
      <w:ind w:left="1814" w:hanging="227"/>
    </w:pPr>
    <w:rPr>
      <w:rFonts w:ascii="Open Sans" w:hAnsi="Open Sans" w:eastAsia="Open Sans" w:cs="Mukta"/>
      <w:b w:val="0"/>
      <w:i w:val="0"/>
      <w:caps w:val="0"/>
      <w:smallCaps w:val="0"/>
      <w:color w:val="1E1E1E"/>
      <w:sz w:val="17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Tinted Header · Plain Caps — Orthopaedic Surgeon — CV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